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537C6A" w14:textId="2D0D9A14" w:rsidR="002A761C" w:rsidRPr="002A761C" w:rsidRDefault="002A761C" w:rsidP="00862947">
      <w:pPr>
        <w:pStyle w:val="NoSpacing"/>
        <w:rPr>
          <w:rFonts w:ascii="Century Gothic" w:hAnsi="Century Gothic"/>
        </w:rPr>
      </w:pPr>
    </w:p>
    <w:p w14:paraId="391472C7" w14:textId="77777777" w:rsidR="002A761C" w:rsidRDefault="002A761C" w:rsidP="00862947">
      <w:pPr>
        <w:pStyle w:val="NoSpacing"/>
        <w:rPr>
          <w:rFonts w:ascii="Century Gothic" w:hAnsi="Century Gothic"/>
          <w:b/>
        </w:rPr>
      </w:pPr>
    </w:p>
    <w:p w14:paraId="108115AB" w14:textId="2BD8D948" w:rsidR="00127FBC" w:rsidRDefault="00D62066" w:rsidP="00B77B26">
      <w:pPr>
        <w:pStyle w:val="NoSpacing"/>
        <w:jc w:val="both"/>
        <w:rPr>
          <w:rFonts w:ascii="Century Gothic" w:hAnsi="Century Gothic"/>
          <w:b/>
        </w:rPr>
      </w:pPr>
      <w:r>
        <w:rPr>
          <w:rFonts w:ascii="Century Gothic" w:hAnsi="Century Gothic"/>
          <w:b/>
        </w:rPr>
        <w:t xml:space="preserve">           </w:t>
      </w:r>
      <w:r w:rsidR="00DB686D">
        <w:rPr>
          <w:rFonts w:ascii="Century Gothic" w:hAnsi="Century Gothic"/>
          <w:b/>
        </w:rPr>
        <w:t xml:space="preserve">UNDERSTANDING </w:t>
      </w:r>
      <w:r w:rsidR="00862947" w:rsidRPr="001C67AE">
        <w:rPr>
          <w:rFonts w:ascii="Century Gothic" w:hAnsi="Century Gothic"/>
          <w:b/>
        </w:rPr>
        <w:t xml:space="preserve">DEPRECIATION IN BUSINESS INTERRUPTION INSURANCE: </w:t>
      </w:r>
    </w:p>
    <w:p w14:paraId="4A59AF87" w14:textId="36B6FB11" w:rsidR="00C02475" w:rsidRDefault="00127FBC" w:rsidP="00B77B26">
      <w:pPr>
        <w:pStyle w:val="NoSpacing"/>
        <w:jc w:val="both"/>
        <w:rPr>
          <w:rFonts w:ascii="Century Gothic" w:hAnsi="Century Gothic"/>
          <w:b/>
        </w:rPr>
      </w:pPr>
      <w:r>
        <w:rPr>
          <w:rFonts w:ascii="Century Gothic" w:hAnsi="Century Gothic"/>
          <w:b/>
        </w:rPr>
        <w:t xml:space="preserve">               </w:t>
      </w:r>
      <w:r w:rsidR="00E75D12">
        <w:rPr>
          <w:rFonts w:ascii="Century Gothic" w:hAnsi="Century Gothic"/>
          <w:b/>
        </w:rPr>
        <w:t xml:space="preserve">                            </w:t>
      </w:r>
      <w:r w:rsidR="00862947" w:rsidRPr="001C67AE">
        <w:rPr>
          <w:rFonts w:ascii="Century Gothic" w:hAnsi="Century Gothic"/>
          <w:b/>
        </w:rPr>
        <w:t>A</w:t>
      </w:r>
      <w:r>
        <w:rPr>
          <w:rFonts w:ascii="Century Gothic" w:hAnsi="Century Gothic"/>
          <w:b/>
        </w:rPr>
        <w:t xml:space="preserve"> </w:t>
      </w:r>
      <w:r w:rsidR="00862947" w:rsidRPr="001C67AE">
        <w:rPr>
          <w:rFonts w:ascii="Century Gothic" w:hAnsi="Century Gothic"/>
          <w:b/>
        </w:rPr>
        <w:t>MISUNDERSTOOD CONCEPT</w:t>
      </w:r>
    </w:p>
    <w:p w14:paraId="1052468E" w14:textId="3F697F64" w:rsidR="001E6CA4" w:rsidRDefault="001E6CA4" w:rsidP="00B77B26">
      <w:pPr>
        <w:pStyle w:val="NoSpacing"/>
        <w:jc w:val="both"/>
        <w:rPr>
          <w:rFonts w:ascii="Century Gothic" w:hAnsi="Century Gothic"/>
          <w:b/>
        </w:rPr>
      </w:pPr>
    </w:p>
    <w:p w14:paraId="4D48F5F2" w14:textId="4AAD61B8" w:rsidR="001E6CA4" w:rsidRDefault="001E6CA4" w:rsidP="00B77B26">
      <w:pPr>
        <w:pStyle w:val="NoSpacing"/>
        <w:jc w:val="both"/>
        <w:rPr>
          <w:rFonts w:ascii="Century Gothic" w:hAnsi="Century Gothic"/>
          <w:b/>
        </w:rPr>
      </w:pPr>
      <w:r>
        <w:rPr>
          <w:rFonts w:ascii="Century Gothic" w:hAnsi="Century Gothic"/>
          <w:b/>
        </w:rPr>
        <w:t xml:space="preserve">                                                          </w:t>
      </w:r>
      <w:r w:rsidR="00D62066">
        <w:rPr>
          <w:rFonts w:ascii="Century Gothic" w:hAnsi="Century Gothic"/>
          <w:b/>
        </w:rPr>
        <w:t xml:space="preserve">    </w:t>
      </w:r>
      <w:r>
        <w:rPr>
          <w:rFonts w:ascii="Century Gothic" w:hAnsi="Century Gothic"/>
          <w:b/>
        </w:rPr>
        <w:t xml:space="preserve">  By</w:t>
      </w:r>
    </w:p>
    <w:p w14:paraId="6C8E6D62" w14:textId="642EFBB8" w:rsidR="001E6CA4" w:rsidRDefault="001E6CA4" w:rsidP="00B77B26">
      <w:pPr>
        <w:pStyle w:val="NoSpacing"/>
        <w:jc w:val="both"/>
        <w:rPr>
          <w:rFonts w:ascii="Century Gothic" w:hAnsi="Century Gothic"/>
          <w:b/>
        </w:rPr>
      </w:pPr>
    </w:p>
    <w:p w14:paraId="797BA9EA" w14:textId="2CE3908C" w:rsidR="001E6CA4" w:rsidRDefault="001E6CA4" w:rsidP="00B77B26">
      <w:pPr>
        <w:pStyle w:val="NoSpacing"/>
        <w:jc w:val="both"/>
        <w:rPr>
          <w:rFonts w:ascii="Century Gothic" w:hAnsi="Century Gothic"/>
          <w:b/>
        </w:rPr>
      </w:pPr>
      <w:r>
        <w:rPr>
          <w:rFonts w:ascii="Century Gothic" w:hAnsi="Century Gothic"/>
          <w:b/>
        </w:rPr>
        <w:t xml:space="preserve">            </w:t>
      </w:r>
      <w:r w:rsidR="00D62066">
        <w:rPr>
          <w:rFonts w:ascii="Century Gothic" w:hAnsi="Century Gothic"/>
          <w:b/>
        </w:rPr>
        <w:t xml:space="preserve">  </w:t>
      </w:r>
      <w:r w:rsidR="00127FBC">
        <w:rPr>
          <w:rFonts w:ascii="Century Gothic" w:hAnsi="Century Gothic"/>
          <w:b/>
        </w:rPr>
        <w:t xml:space="preserve"> </w:t>
      </w:r>
      <w:r>
        <w:rPr>
          <w:rFonts w:ascii="Century Gothic" w:hAnsi="Century Gothic"/>
          <w:b/>
        </w:rPr>
        <w:t>LF ONG</w:t>
      </w:r>
      <w:r w:rsidR="00DE2DC0">
        <w:rPr>
          <w:rStyle w:val="FootnoteReference"/>
          <w:rFonts w:ascii="Century Gothic" w:hAnsi="Century Gothic"/>
          <w:b/>
        </w:rPr>
        <w:footnoteReference w:id="1"/>
      </w:r>
      <w:r>
        <w:rPr>
          <w:rFonts w:ascii="Century Gothic" w:hAnsi="Century Gothic"/>
          <w:b/>
        </w:rPr>
        <w:t xml:space="preserve"> (LL.B) </w:t>
      </w:r>
      <w:r w:rsidR="00127FBC">
        <w:rPr>
          <w:rFonts w:ascii="Century Gothic" w:hAnsi="Century Gothic"/>
          <w:b/>
        </w:rPr>
        <w:t xml:space="preserve">(Hons) </w:t>
      </w:r>
      <w:r>
        <w:rPr>
          <w:rFonts w:ascii="Century Gothic" w:hAnsi="Century Gothic"/>
          <w:b/>
        </w:rPr>
        <w:t>(London); CLP; ACII; AMII; MCI Arb; MMI Arb.</w:t>
      </w:r>
    </w:p>
    <w:p w14:paraId="1E6B1F1C" w14:textId="3C971709" w:rsidR="001E6CA4" w:rsidRPr="001C67AE" w:rsidRDefault="001E6CA4" w:rsidP="00B77B26">
      <w:pPr>
        <w:pStyle w:val="NoSpacing"/>
        <w:jc w:val="both"/>
        <w:rPr>
          <w:rFonts w:ascii="Century Gothic" w:hAnsi="Century Gothic"/>
          <w:b/>
        </w:rPr>
      </w:pPr>
      <w:r>
        <w:rPr>
          <w:rFonts w:ascii="Century Gothic" w:hAnsi="Century Gothic"/>
          <w:b/>
        </w:rPr>
        <w:t xml:space="preserve">                 </w:t>
      </w:r>
      <w:r w:rsidR="00D62066">
        <w:rPr>
          <w:rFonts w:ascii="Century Gothic" w:hAnsi="Century Gothic"/>
          <w:b/>
        </w:rPr>
        <w:t xml:space="preserve">    </w:t>
      </w:r>
      <w:r>
        <w:rPr>
          <w:rFonts w:ascii="Century Gothic" w:hAnsi="Century Gothic"/>
          <w:b/>
        </w:rPr>
        <w:t xml:space="preserve"> </w:t>
      </w:r>
      <w:r w:rsidR="00127FBC">
        <w:rPr>
          <w:rFonts w:ascii="Century Gothic" w:hAnsi="Century Gothic"/>
          <w:b/>
        </w:rPr>
        <w:t xml:space="preserve">  </w:t>
      </w:r>
      <w:r>
        <w:rPr>
          <w:rFonts w:ascii="Century Gothic" w:hAnsi="Century Gothic"/>
          <w:b/>
        </w:rPr>
        <w:t>Chartered Insurance Practitioner, Arbitrator &amp; Mediator</w:t>
      </w:r>
    </w:p>
    <w:p w14:paraId="04AED2F6" w14:textId="2FD3DD3D" w:rsidR="00862947" w:rsidRDefault="00862947" w:rsidP="00B77B26">
      <w:pPr>
        <w:pStyle w:val="NoSpacing"/>
        <w:jc w:val="both"/>
        <w:rPr>
          <w:rFonts w:ascii="Century Gothic" w:hAnsi="Century Gothic"/>
        </w:rPr>
      </w:pPr>
    </w:p>
    <w:p w14:paraId="739F6A3D" w14:textId="77777777" w:rsidR="00A34FE9" w:rsidRPr="001C67AE" w:rsidRDefault="00A34FE9" w:rsidP="00B77B26">
      <w:pPr>
        <w:pStyle w:val="NoSpacing"/>
        <w:jc w:val="both"/>
        <w:rPr>
          <w:rFonts w:ascii="Century Gothic" w:hAnsi="Century Gothic"/>
        </w:rPr>
      </w:pPr>
    </w:p>
    <w:p w14:paraId="74608FF3" w14:textId="1622D959" w:rsidR="001930B4" w:rsidRDefault="00A34FE9" w:rsidP="00B77B26">
      <w:pPr>
        <w:pStyle w:val="NoSpacing"/>
        <w:jc w:val="both"/>
        <w:rPr>
          <w:rFonts w:ascii="Century Gothic" w:hAnsi="Century Gothic"/>
          <w:b/>
        </w:rPr>
      </w:pPr>
      <w:r w:rsidRPr="00A34FE9">
        <w:rPr>
          <w:rFonts w:ascii="Century Gothic" w:hAnsi="Century Gothic"/>
          <w:b/>
        </w:rPr>
        <w:t>Executive summary</w:t>
      </w:r>
    </w:p>
    <w:p w14:paraId="28975305" w14:textId="77777777" w:rsidR="001930B4" w:rsidRDefault="001930B4" w:rsidP="00B77B26">
      <w:pPr>
        <w:pStyle w:val="NoSpacing"/>
        <w:jc w:val="both"/>
        <w:rPr>
          <w:rFonts w:ascii="Century Gothic" w:hAnsi="Century Gothic"/>
        </w:rPr>
      </w:pPr>
    </w:p>
    <w:p w14:paraId="0D516419" w14:textId="5058BA49" w:rsidR="00862947" w:rsidRPr="001930B4" w:rsidRDefault="00862947" w:rsidP="00B77B26">
      <w:pPr>
        <w:pStyle w:val="NoSpacing"/>
        <w:jc w:val="both"/>
        <w:rPr>
          <w:rFonts w:ascii="Century Gothic" w:hAnsi="Century Gothic"/>
          <w:b/>
        </w:rPr>
      </w:pPr>
      <w:r w:rsidRPr="001C67AE">
        <w:rPr>
          <w:rFonts w:ascii="Century Gothic" w:hAnsi="Century Gothic"/>
        </w:rPr>
        <w:t xml:space="preserve">Depreciation </w:t>
      </w:r>
      <w:r w:rsidR="008C0F48">
        <w:rPr>
          <w:rFonts w:ascii="Century Gothic" w:hAnsi="Century Gothic"/>
        </w:rPr>
        <w:t xml:space="preserve">per se </w:t>
      </w:r>
      <w:r w:rsidRPr="001C67AE">
        <w:rPr>
          <w:rFonts w:ascii="Century Gothic" w:hAnsi="Century Gothic"/>
        </w:rPr>
        <w:t xml:space="preserve">is neither a Fixed Cost nor a Variable Cost. In essence, Depreciation is an </w:t>
      </w:r>
      <w:r w:rsidR="005452F7" w:rsidRPr="001C67AE">
        <w:rPr>
          <w:rFonts w:ascii="Century Gothic" w:hAnsi="Century Gothic"/>
        </w:rPr>
        <w:t>O</w:t>
      </w:r>
      <w:r w:rsidR="002E51B3" w:rsidRPr="001C67AE">
        <w:rPr>
          <w:rFonts w:ascii="Century Gothic" w:hAnsi="Century Gothic"/>
        </w:rPr>
        <w:t xml:space="preserve">ptional </w:t>
      </w:r>
      <w:r w:rsidR="005452F7" w:rsidRPr="001C67AE">
        <w:rPr>
          <w:rFonts w:ascii="Century Gothic" w:hAnsi="Century Gothic"/>
        </w:rPr>
        <w:t>Cost</w:t>
      </w:r>
      <w:r w:rsidR="008C0F48">
        <w:rPr>
          <w:rFonts w:ascii="Century Gothic" w:hAnsi="Century Gothic"/>
        </w:rPr>
        <w:t>,</w:t>
      </w:r>
      <w:r w:rsidRPr="001C67AE">
        <w:rPr>
          <w:rFonts w:ascii="Century Gothic" w:hAnsi="Century Gothic"/>
        </w:rPr>
        <w:t xml:space="preserve"> </w:t>
      </w:r>
      <w:r w:rsidR="008C0F48">
        <w:rPr>
          <w:rFonts w:ascii="Century Gothic" w:hAnsi="Century Gothic"/>
        </w:rPr>
        <w:t xml:space="preserve">insurable as an item of the policy, </w:t>
      </w:r>
      <w:r w:rsidRPr="001C67AE">
        <w:rPr>
          <w:rFonts w:ascii="Century Gothic" w:hAnsi="Century Gothic"/>
        </w:rPr>
        <w:t>at</w:t>
      </w:r>
      <w:r w:rsidR="002E51B3" w:rsidRPr="001C67AE">
        <w:rPr>
          <w:rFonts w:ascii="Century Gothic" w:hAnsi="Century Gothic"/>
        </w:rPr>
        <w:t xml:space="preserve"> the sole discretion </w:t>
      </w:r>
      <w:r w:rsidRPr="001C67AE">
        <w:rPr>
          <w:rFonts w:ascii="Century Gothic" w:hAnsi="Century Gothic"/>
        </w:rPr>
        <w:t xml:space="preserve">of the Proposer/Insured. </w:t>
      </w:r>
    </w:p>
    <w:p w14:paraId="478AB391" w14:textId="2F17AC86" w:rsidR="0070144A" w:rsidRPr="001C67AE" w:rsidRDefault="0070144A" w:rsidP="00B77B26">
      <w:pPr>
        <w:pStyle w:val="NoSpacing"/>
        <w:jc w:val="both"/>
        <w:rPr>
          <w:rFonts w:ascii="Century Gothic" w:hAnsi="Century Gothic"/>
        </w:rPr>
      </w:pPr>
    </w:p>
    <w:p w14:paraId="3A426B45" w14:textId="57CC8462" w:rsidR="0070144A" w:rsidRPr="001C67AE" w:rsidRDefault="0070144A" w:rsidP="00B77B26">
      <w:pPr>
        <w:pStyle w:val="NoSpacing"/>
        <w:jc w:val="both"/>
        <w:rPr>
          <w:rFonts w:ascii="Century Gothic" w:hAnsi="Century Gothic"/>
        </w:rPr>
      </w:pPr>
      <w:r w:rsidRPr="001C67AE">
        <w:rPr>
          <w:rFonts w:ascii="Century Gothic" w:hAnsi="Century Gothic"/>
        </w:rPr>
        <w:t xml:space="preserve">Main stream </w:t>
      </w:r>
      <w:r w:rsidR="0035561D">
        <w:rPr>
          <w:rFonts w:ascii="Century Gothic" w:hAnsi="Century Gothic"/>
        </w:rPr>
        <w:t xml:space="preserve">insurance </w:t>
      </w:r>
      <w:r w:rsidRPr="001C67AE">
        <w:rPr>
          <w:rFonts w:ascii="Century Gothic" w:hAnsi="Century Gothic"/>
        </w:rPr>
        <w:t xml:space="preserve">practitioners </w:t>
      </w:r>
      <w:r w:rsidR="008C0F48">
        <w:rPr>
          <w:rFonts w:ascii="Century Gothic" w:hAnsi="Century Gothic"/>
        </w:rPr>
        <w:t>would be</w:t>
      </w:r>
      <w:r w:rsidRPr="001C67AE">
        <w:rPr>
          <w:rFonts w:ascii="Century Gothic" w:hAnsi="Century Gothic"/>
        </w:rPr>
        <w:t xml:space="preserve"> horrified to regard Depreciation other than a Fixed Cost because </w:t>
      </w:r>
      <w:r w:rsidR="0035561D">
        <w:rPr>
          <w:rFonts w:ascii="Century Gothic" w:hAnsi="Century Gothic"/>
        </w:rPr>
        <w:t>many, if not all,</w:t>
      </w:r>
      <w:r w:rsidRPr="001C67AE">
        <w:rPr>
          <w:rFonts w:ascii="Century Gothic" w:hAnsi="Century Gothic"/>
        </w:rPr>
        <w:t xml:space="preserve"> have been programmed to </w:t>
      </w:r>
      <w:r w:rsidR="00F829B0">
        <w:rPr>
          <w:rFonts w:ascii="Century Gothic" w:hAnsi="Century Gothic"/>
        </w:rPr>
        <w:t>believe</w:t>
      </w:r>
      <w:r w:rsidR="0067596F">
        <w:rPr>
          <w:rFonts w:ascii="Century Gothic" w:hAnsi="Century Gothic"/>
        </w:rPr>
        <w:t>,</w:t>
      </w:r>
      <w:r w:rsidRPr="001C67AE">
        <w:rPr>
          <w:rFonts w:ascii="Century Gothic" w:hAnsi="Century Gothic"/>
        </w:rPr>
        <w:t xml:space="preserve"> like their predecessors</w:t>
      </w:r>
      <w:r w:rsidR="0067596F">
        <w:rPr>
          <w:rFonts w:ascii="Century Gothic" w:hAnsi="Century Gothic"/>
        </w:rPr>
        <w:t>,</w:t>
      </w:r>
      <w:r w:rsidRPr="001C67AE">
        <w:rPr>
          <w:rFonts w:ascii="Century Gothic" w:hAnsi="Century Gothic"/>
        </w:rPr>
        <w:t xml:space="preserve"> </w:t>
      </w:r>
      <w:r w:rsidR="00832766">
        <w:rPr>
          <w:rFonts w:ascii="Century Gothic" w:hAnsi="Century Gothic"/>
        </w:rPr>
        <w:t>including</w:t>
      </w:r>
      <w:r w:rsidR="00B1575D">
        <w:rPr>
          <w:rFonts w:ascii="Century Gothic" w:hAnsi="Century Gothic"/>
        </w:rPr>
        <w:t xml:space="preserve"> </w:t>
      </w:r>
      <w:r w:rsidR="00832766">
        <w:rPr>
          <w:rFonts w:ascii="Century Gothic" w:hAnsi="Century Gothic"/>
        </w:rPr>
        <w:t>tho</w:t>
      </w:r>
      <w:r w:rsidR="00B1575D">
        <w:rPr>
          <w:rFonts w:ascii="Century Gothic" w:hAnsi="Century Gothic"/>
        </w:rPr>
        <w:t>se</w:t>
      </w:r>
      <w:r w:rsidR="00832766">
        <w:rPr>
          <w:rFonts w:ascii="Century Gothic" w:hAnsi="Century Gothic"/>
        </w:rPr>
        <w:t xml:space="preserve"> living in a bubble,</w:t>
      </w:r>
      <w:r w:rsidR="00B1575D">
        <w:rPr>
          <w:rFonts w:ascii="Century Gothic" w:hAnsi="Century Gothic"/>
        </w:rPr>
        <w:t xml:space="preserve"> </w:t>
      </w:r>
      <w:r w:rsidRPr="001C67AE">
        <w:rPr>
          <w:rFonts w:ascii="Century Gothic" w:hAnsi="Century Gothic"/>
        </w:rPr>
        <w:t>the mantra that Depreciation is part of the Standing Charges.</w:t>
      </w:r>
    </w:p>
    <w:p w14:paraId="1C785212" w14:textId="4EF1437F" w:rsidR="007317C7" w:rsidRPr="001C67AE" w:rsidRDefault="007317C7" w:rsidP="00B77B26">
      <w:pPr>
        <w:pStyle w:val="NoSpacing"/>
        <w:jc w:val="both"/>
        <w:rPr>
          <w:rFonts w:ascii="Century Gothic" w:hAnsi="Century Gothic"/>
        </w:rPr>
      </w:pPr>
    </w:p>
    <w:p w14:paraId="18B73981" w14:textId="370F1717" w:rsidR="007317C7" w:rsidRDefault="001E6CA4" w:rsidP="00B77B26">
      <w:pPr>
        <w:pStyle w:val="NoSpacing"/>
        <w:jc w:val="both"/>
        <w:rPr>
          <w:rFonts w:ascii="Century Gothic" w:hAnsi="Century Gothic"/>
        </w:rPr>
      </w:pPr>
      <w:r>
        <w:rPr>
          <w:rFonts w:ascii="Century Gothic" w:hAnsi="Century Gothic"/>
        </w:rPr>
        <w:t>T</w:t>
      </w:r>
      <w:r w:rsidR="0035561D">
        <w:rPr>
          <w:rFonts w:ascii="Century Gothic" w:hAnsi="Century Gothic"/>
        </w:rPr>
        <w:t>he prerogative to insure Depreciation</w:t>
      </w:r>
      <w:r w:rsidR="000437F0">
        <w:rPr>
          <w:rFonts w:ascii="Century Gothic" w:hAnsi="Century Gothic"/>
        </w:rPr>
        <w:t>, or</w:t>
      </w:r>
      <w:r w:rsidR="006A0B3B">
        <w:rPr>
          <w:rFonts w:ascii="Century Gothic" w:hAnsi="Century Gothic"/>
        </w:rPr>
        <w:t xml:space="preserve"> not</w:t>
      </w:r>
      <w:r w:rsidR="009D589B">
        <w:rPr>
          <w:rFonts w:ascii="Century Gothic" w:hAnsi="Century Gothic"/>
        </w:rPr>
        <w:t>,</w:t>
      </w:r>
      <w:r w:rsidR="000437F0">
        <w:rPr>
          <w:rFonts w:ascii="Century Gothic" w:hAnsi="Century Gothic"/>
        </w:rPr>
        <w:t xml:space="preserve"> </w:t>
      </w:r>
      <w:r w:rsidR="0035561D">
        <w:rPr>
          <w:rFonts w:ascii="Century Gothic" w:hAnsi="Century Gothic"/>
        </w:rPr>
        <w:t xml:space="preserve">as </w:t>
      </w:r>
      <w:r w:rsidR="007317C7" w:rsidRPr="001C67AE">
        <w:rPr>
          <w:rFonts w:ascii="Century Gothic" w:hAnsi="Century Gothic"/>
        </w:rPr>
        <w:t xml:space="preserve">an </w:t>
      </w:r>
      <w:r w:rsidR="0067596F">
        <w:rPr>
          <w:rFonts w:ascii="Century Gothic" w:hAnsi="Century Gothic"/>
        </w:rPr>
        <w:t>O</w:t>
      </w:r>
      <w:r w:rsidR="007317C7" w:rsidRPr="001C67AE">
        <w:rPr>
          <w:rFonts w:ascii="Century Gothic" w:hAnsi="Century Gothic"/>
        </w:rPr>
        <w:t xml:space="preserve">ptional </w:t>
      </w:r>
      <w:r w:rsidR="0067596F">
        <w:rPr>
          <w:rFonts w:ascii="Century Gothic" w:hAnsi="Century Gothic"/>
        </w:rPr>
        <w:t>C</w:t>
      </w:r>
      <w:r w:rsidR="007317C7" w:rsidRPr="001C67AE">
        <w:rPr>
          <w:rFonts w:ascii="Century Gothic" w:hAnsi="Century Gothic"/>
        </w:rPr>
        <w:t>ost</w:t>
      </w:r>
      <w:r>
        <w:rPr>
          <w:rFonts w:ascii="Century Gothic" w:hAnsi="Century Gothic"/>
        </w:rPr>
        <w:t xml:space="preserve"> rests with the Proposer/Insured</w:t>
      </w:r>
      <w:r w:rsidR="00FA658C">
        <w:rPr>
          <w:rFonts w:ascii="Century Gothic" w:hAnsi="Century Gothic"/>
        </w:rPr>
        <w:t>.</w:t>
      </w:r>
      <w:r w:rsidR="007317C7" w:rsidRPr="001C67AE">
        <w:rPr>
          <w:rFonts w:ascii="Century Gothic" w:hAnsi="Century Gothic"/>
        </w:rPr>
        <w:t xml:space="preserve"> Depreciation can be insured as an item on a limit of liability basis much like</w:t>
      </w:r>
      <w:r w:rsidR="0067596F">
        <w:rPr>
          <w:rFonts w:ascii="Century Gothic" w:hAnsi="Century Gothic"/>
        </w:rPr>
        <w:t>, inter alia,</w:t>
      </w:r>
      <w:r w:rsidR="007317C7" w:rsidRPr="001C67AE">
        <w:rPr>
          <w:rFonts w:ascii="Century Gothic" w:hAnsi="Century Gothic"/>
        </w:rPr>
        <w:t xml:space="preserve"> Additional </w:t>
      </w:r>
      <w:r w:rsidR="0035561D">
        <w:rPr>
          <w:rFonts w:ascii="Century Gothic" w:hAnsi="Century Gothic"/>
        </w:rPr>
        <w:t xml:space="preserve">Increase in </w:t>
      </w:r>
      <w:r w:rsidR="007317C7" w:rsidRPr="001C67AE">
        <w:rPr>
          <w:rFonts w:ascii="Century Gothic" w:hAnsi="Century Gothic"/>
        </w:rPr>
        <w:t xml:space="preserve">Cost of Working </w:t>
      </w:r>
      <w:r w:rsidR="00D62066">
        <w:rPr>
          <w:rFonts w:ascii="Century Gothic" w:hAnsi="Century Gothic"/>
        </w:rPr>
        <w:t>and</w:t>
      </w:r>
      <w:r w:rsidR="007317C7" w:rsidRPr="001C67AE">
        <w:rPr>
          <w:rFonts w:ascii="Century Gothic" w:hAnsi="Century Gothic"/>
        </w:rPr>
        <w:t xml:space="preserve"> A</w:t>
      </w:r>
      <w:r w:rsidR="008F7800">
        <w:rPr>
          <w:rFonts w:ascii="Century Gothic" w:hAnsi="Century Gothic"/>
        </w:rPr>
        <w:t>ccountants</w:t>
      </w:r>
      <w:r w:rsidR="007317C7" w:rsidRPr="001C67AE">
        <w:rPr>
          <w:rFonts w:ascii="Century Gothic" w:hAnsi="Century Gothic"/>
        </w:rPr>
        <w:t xml:space="preserve">’ </w:t>
      </w:r>
      <w:r w:rsidR="0067596F">
        <w:rPr>
          <w:rFonts w:ascii="Century Gothic" w:hAnsi="Century Gothic"/>
        </w:rPr>
        <w:t>C</w:t>
      </w:r>
      <w:r w:rsidR="007317C7" w:rsidRPr="001C67AE">
        <w:rPr>
          <w:rFonts w:ascii="Century Gothic" w:hAnsi="Century Gothic"/>
        </w:rPr>
        <w:t>harges</w:t>
      </w:r>
      <w:r w:rsidR="00F829B0">
        <w:rPr>
          <w:rFonts w:ascii="Century Gothic" w:hAnsi="Century Gothic"/>
        </w:rPr>
        <w:t>/Fees</w:t>
      </w:r>
      <w:r w:rsidR="004F6204">
        <w:rPr>
          <w:rStyle w:val="FootnoteReference"/>
          <w:rFonts w:ascii="Century Gothic" w:hAnsi="Century Gothic"/>
        </w:rPr>
        <w:footnoteReference w:id="2"/>
      </w:r>
      <w:r w:rsidR="007317C7" w:rsidRPr="001C67AE">
        <w:rPr>
          <w:rFonts w:ascii="Century Gothic" w:hAnsi="Century Gothic"/>
        </w:rPr>
        <w:t xml:space="preserve"> </w:t>
      </w:r>
      <w:r w:rsidR="00127FBC">
        <w:rPr>
          <w:rFonts w:ascii="Century Gothic" w:hAnsi="Century Gothic"/>
        </w:rPr>
        <w:t xml:space="preserve">which are </w:t>
      </w:r>
      <w:r w:rsidR="007317C7" w:rsidRPr="001C67AE">
        <w:rPr>
          <w:rFonts w:ascii="Century Gothic" w:hAnsi="Century Gothic"/>
        </w:rPr>
        <w:t>not subject to underinsurance.</w:t>
      </w:r>
    </w:p>
    <w:p w14:paraId="64F2C9BF" w14:textId="5132886A" w:rsidR="001E6CA4" w:rsidRDefault="001E6CA4" w:rsidP="00B77B26">
      <w:pPr>
        <w:pStyle w:val="NoSpacing"/>
        <w:jc w:val="both"/>
        <w:rPr>
          <w:rFonts w:ascii="Century Gothic" w:hAnsi="Century Gothic"/>
        </w:rPr>
      </w:pPr>
    </w:p>
    <w:p w14:paraId="1AA83728" w14:textId="5B383330" w:rsidR="001E6CA4" w:rsidRPr="001C67AE" w:rsidRDefault="001E6CA4" w:rsidP="00B77B26">
      <w:pPr>
        <w:pStyle w:val="NoSpacing"/>
        <w:jc w:val="both"/>
        <w:rPr>
          <w:rFonts w:ascii="Century Gothic" w:hAnsi="Century Gothic"/>
        </w:rPr>
      </w:pPr>
      <w:r>
        <w:rPr>
          <w:rFonts w:ascii="Century Gothic" w:hAnsi="Century Gothic"/>
        </w:rPr>
        <w:t>Depreciation</w:t>
      </w:r>
      <w:r w:rsidR="00DA4834">
        <w:rPr>
          <w:rFonts w:ascii="Century Gothic" w:hAnsi="Century Gothic"/>
        </w:rPr>
        <w:t>,</w:t>
      </w:r>
      <w:r>
        <w:rPr>
          <w:rFonts w:ascii="Century Gothic" w:hAnsi="Century Gothic"/>
        </w:rPr>
        <w:t xml:space="preserve"> as an Optional Cost</w:t>
      </w:r>
      <w:r w:rsidR="006221CA">
        <w:rPr>
          <w:rFonts w:ascii="Century Gothic" w:hAnsi="Century Gothic"/>
        </w:rPr>
        <w:t>,</w:t>
      </w:r>
      <w:r>
        <w:rPr>
          <w:rFonts w:ascii="Century Gothic" w:hAnsi="Century Gothic"/>
        </w:rPr>
        <w:t xml:space="preserve"> is a novel and innovative concept</w:t>
      </w:r>
      <w:r w:rsidR="009B0638">
        <w:rPr>
          <w:rFonts w:ascii="Century Gothic" w:hAnsi="Century Gothic"/>
        </w:rPr>
        <w:t xml:space="preserve"> in Business Interruption insurance</w:t>
      </w:r>
      <w:r w:rsidR="00DA4834">
        <w:rPr>
          <w:rFonts w:ascii="Century Gothic" w:hAnsi="Century Gothic"/>
        </w:rPr>
        <w:t xml:space="preserve">, </w:t>
      </w:r>
      <w:r w:rsidR="00127FBC">
        <w:rPr>
          <w:rFonts w:ascii="Century Gothic" w:hAnsi="Century Gothic"/>
        </w:rPr>
        <w:t xml:space="preserve">has </w:t>
      </w:r>
      <w:r w:rsidR="00DA4834">
        <w:rPr>
          <w:rFonts w:ascii="Century Gothic" w:hAnsi="Century Gothic"/>
        </w:rPr>
        <w:t>never</w:t>
      </w:r>
      <w:r w:rsidR="00834995">
        <w:rPr>
          <w:rFonts w:ascii="Century Gothic" w:hAnsi="Century Gothic"/>
        </w:rPr>
        <w:t xml:space="preserve"> been</w:t>
      </w:r>
      <w:r w:rsidR="00DA4834">
        <w:rPr>
          <w:rFonts w:ascii="Century Gothic" w:hAnsi="Century Gothic"/>
        </w:rPr>
        <w:t xml:space="preserve"> explored at all.</w:t>
      </w:r>
    </w:p>
    <w:p w14:paraId="094487CE" w14:textId="3B97F6A6" w:rsidR="00862947" w:rsidRDefault="00862947" w:rsidP="00B77B26">
      <w:pPr>
        <w:pStyle w:val="NoSpacing"/>
        <w:jc w:val="both"/>
        <w:rPr>
          <w:rFonts w:ascii="Century Gothic" w:hAnsi="Century Gothic"/>
        </w:rPr>
      </w:pPr>
    </w:p>
    <w:p w14:paraId="6AF8F176" w14:textId="77777777" w:rsidR="001930B4" w:rsidRDefault="001930B4" w:rsidP="00B77B26">
      <w:pPr>
        <w:pStyle w:val="NoSpacing"/>
        <w:jc w:val="both"/>
        <w:rPr>
          <w:rFonts w:ascii="Century Gothic" w:hAnsi="Century Gothic"/>
          <w:b/>
        </w:rPr>
      </w:pPr>
    </w:p>
    <w:p w14:paraId="4FDE2508" w14:textId="01C7D9BE" w:rsidR="001E6CA4" w:rsidRPr="0024338D" w:rsidRDefault="0024338D" w:rsidP="00B77B26">
      <w:pPr>
        <w:pStyle w:val="NoSpacing"/>
        <w:jc w:val="both"/>
        <w:rPr>
          <w:rFonts w:ascii="Century Gothic" w:hAnsi="Century Gothic"/>
          <w:b/>
        </w:rPr>
      </w:pPr>
      <w:r w:rsidRPr="0024338D">
        <w:rPr>
          <w:rFonts w:ascii="Century Gothic" w:hAnsi="Century Gothic"/>
          <w:b/>
        </w:rPr>
        <w:t xml:space="preserve">Introduction </w:t>
      </w:r>
    </w:p>
    <w:p w14:paraId="357C8CE5" w14:textId="06360BD4" w:rsidR="0024338D" w:rsidRDefault="0024338D" w:rsidP="00B77B26">
      <w:pPr>
        <w:pStyle w:val="NoSpacing"/>
        <w:jc w:val="both"/>
        <w:rPr>
          <w:rFonts w:ascii="Century Gothic" w:hAnsi="Century Gothic"/>
        </w:rPr>
      </w:pPr>
    </w:p>
    <w:p w14:paraId="2965ABBC" w14:textId="15BA1AD6" w:rsidR="0024338D" w:rsidRDefault="0024338D" w:rsidP="00B77B26">
      <w:pPr>
        <w:pStyle w:val="NoSpacing"/>
        <w:jc w:val="both"/>
        <w:rPr>
          <w:rFonts w:ascii="Century Gothic" w:hAnsi="Century Gothic"/>
        </w:rPr>
      </w:pPr>
      <w:r>
        <w:rPr>
          <w:rFonts w:ascii="Century Gothic" w:hAnsi="Century Gothic"/>
        </w:rPr>
        <w:t>This technical paper on UNDERSTANDING DEPRECIATION IN BUSINESS INTERRUPTION INSURANCE: A MISUNDERSTOOD CONCEPT is</w:t>
      </w:r>
      <w:r w:rsidR="00E75D12">
        <w:rPr>
          <w:rFonts w:ascii="Century Gothic" w:hAnsi="Century Gothic"/>
        </w:rPr>
        <w:t xml:space="preserve"> a</w:t>
      </w:r>
      <w:r>
        <w:rPr>
          <w:rFonts w:ascii="Century Gothic" w:hAnsi="Century Gothic"/>
        </w:rPr>
        <w:t xml:space="preserve"> study of the meaning, practice, process and application of depreciation </w:t>
      </w:r>
      <w:r w:rsidR="00D61C4B">
        <w:rPr>
          <w:rFonts w:ascii="Century Gothic" w:hAnsi="Century Gothic"/>
        </w:rPr>
        <w:t xml:space="preserve">as an Optional Cost </w:t>
      </w:r>
      <w:r>
        <w:rPr>
          <w:rFonts w:ascii="Century Gothic" w:hAnsi="Century Gothic"/>
        </w:rPr>
        <w:t xml:space="preserve">in </w:t>
      </w:r>
      <w:r w:rsidR="00D61C4B">
        <w:rPr>
          <w:rFonts w:ascii="Century Gothic" w:hAnsi="Century Gothic"/>
        </w:rPr>
        <w:t xml:space="preserve">the </w:t>
      </w:r>
      <w:r>
        <w:rPr>
          <w:rFonts w:ascii="Century Gothic" w:hAnsi="Century Gothic"/>
        </w:rPr>
        <w:t>Business Interruption insurance.</w:t>
      </w:r>
    </w:p>
    <w:p w14:paraId="27B50C50" w14:textId="67A61621" w:rsidR="0024338D" w:rsidRDefault="0024338D" w:rsidP="00B77B26">
      <w:pPr>
        <w:pStyle w:val="NoSpacing"/>
        <w:jc w:val="both"/>
        <w:rPr>
          <w:rFonts w:ascii="Century Gothic" w:hAnsi="Century Gothic"/>
        </w:rPr>
      </w:pPr>
    </w:p>
    <w:p w14:paraId="546570EE" w14:textId="77777777" w:rsidR="00C11F8F" w:rsidRDefault="009B0638" w:rsidP="00B77B26">
      <w:pPr>
        <w:pStyle w:val="NoSpacing"/>
        <w:jc w:val="both"/>
        <w:rPr>
          <w:rFonts w:ascii="Century Gothic" w:hAnsi="Century Gothic"/>
        </w:rPr>
      </w:pPr>
      <w:r>
        <w:rPr>
          <w:rFonts w:ascii="Century Gothic" w:hAnsi="Century Gothic"/>
        </w:rPr>
        <w:t xml:space="preserve">It is appreciated that the concept of </w:t>
      </w:r>
      <w:r w:rsidR="00834995">
        <w:rPr>
          <w:rFonts w:ascii="Century Gothic" w:hAnsi="Century Gothic"/>
        </w:rPr>
        <w:t>D</w:t>
      </w:r>
      <w:r>
        <w:rPr>
          <w:rFonts w:ascii="Century Gothic" w:hAnsi="Century Gothic"/>
        </w:rPr>
        <w:t xml:space="preserve">epreciation as an Optional Cost is totally against the norm of the Business Interruption insurance </w:t>
      </w:r>
      <w:r w:rsidR="00834995">
        <w:rPr>
          <w:rFonts w:ascii="Century Gothic" w:hAnsi="Century Gothic"/>
        </w:rPr>
        <w:t xml:space="preserve">practice </w:t>
      </w:r>
      <w:r>
        <w:rPr>
          <w:rFonts w:ascii="Century Gothic" w:hAnsi="Century Gothic"/>
        </w:rPr>
        <w:t>and would likely face considerable challenges from all angles.</w:t>
      </w:r>
      <w:r w:rsidR="00834995">
        <w:rPr>
          <w:rFonts w:ascii="Century Gothic" w:hAnsi="Century Gothic"/>
        </w:rPr>
        <w:t xml:space="preserve"> </w:t>
      </w:r>
    </w:p>
    <w:p w14:paraId="69ABCB40" w14:textId="26CBF252" w:rsidR="0024338D" w:rsidRDefault="00834995" w:rsidP="00B77B26">
      <w:pPr>
        <w:pStyle w:val="NoSpacing"/>
        <w:jc w:val="both"/>
        <w:rPr>
          <w:rFonts w:ascii="Century Gothic" w:hAnsi="Century Gothic"/>
        </w:rPr>
      </w:pPr>
      <w:r>
        <w:rPr>
          <w:rFonts w:ascii="Century Gothic" w:hAnsi="Century Gothic"/>
        </w:rPr>
        <w:lastRenderedPageBreak/>
        <w:t>An open mind is what is required for an understanding of this concept of Depreciation as an Optional Cost</w:t>
      </w:r>
      <w:r w:rsidR="006B2318">
        <w:rPr>
          <w:rFonts w:ascii="Century Gothic" w:hAnsi="Century Gothic"/>
        </w:rPr>
        <w:t xml:space="preserve"> for the learning curve.</w:t>
      </w:r>
    </w:p>
    <w:p w14:paraId="780CAE21" w14:textId="77777777" w:rsidR="00D52E38" w:rsidRDefault="00D52E38" w:rsidP="00B77B26">
      <w:pPr>
        <w:pStyle w:val="NoSpacing"/>
        <w:jc w:val="both"/>
        <w:rPr>
          <w:rFonts w:ascii="Century Gothic" w:hAnsi="Century Gothic"/>
        </w:rPr>
      </w:pPr>
    </w:p>
    <w:p w14:paraId="78304785" w14:textId="57340644" w:rsidR="007B2604" w:rsidRDefault="00834995" w:rsidP="00B77B26">
      <w:pPr>
        <w:pStyle w:val="NoSpacing"/>
        <w:jc w:val="both"/>
        <w:rPr>
          <w:rFonts w:ascii="Century Gothic" w:hAnsi="Century Gothic"/>
        </w:rPr>
      </w:pPr>
      <w:r>
        <w:rPr>
          <w:rFonts w:ascii="Century Gothic" w:hAnsi="Century Gothic"/>
        </w:rPr>
        <w:t xml:space="preserve">The awakening </w:t>
      </w:r>
      <w:r w:rsidR="00EC1626">
        <w:rPr>
          <w:rFonts w:ascii="Century Gothic" w:hAnsi="Century Gothic"/>
        </w:rPr>
        <w:t xml:space="preserve">that Depreciation is an Optional Cost stemmed from an actual Business Interruption insurance claim dispute following a fire outbreak at a </w:t>
      </w:r>
      <w:r w:rsidR="00211C3E">
        <w:rPr>
          <w:rFonts w:ascii="Century Gothic" w:hAnsi="Century Gothic"/>
        </w:rPr>
        <w:t xml:space="preserve">manufacturing plant </w:t>
      </w:r>
      <w:r w:rsidR="00446F59">
        <w:rPr>
          <w:rFonts w:ascii="Century Gothic" w:hAnsi="Century Gothic"/>
        </w:rPr>
        <w:t xml:space="preserve">complex </w:t>
      </w:r>
      <w:r w:rsidR="007B2604">
        <w:rPr>
          <w:rFonts w:ascii="Century Gothic" w:hAnsi="Century Gothic"/>
        </w:rPr>
        <w:t xml:space="preserve">managed by </w:t>
      </w:r>
      <w:r w:rsidR="00211C3E">
        <w:rPr>
          <w:rFonts w:ascii="Century Gothic" w:hAnsi="Century Gothic"/>
        </w:rPr>
        <w:t>a</w:t>
      </w:r>
      <w:r w:rsidR="007B2604">
        <w:rPr>
          <w:rFonts w:ascii="Century Gothic" w:hAnsi="Century Gothic"/>
        </w:rPr>
        <w:t xml:space="preserve"> public listed corporation (the Claimant) against the Underwriter (the Respondent) </w:t>
      </w:r>
      <w:r w:rsidR="00C320C6">
        <w:rPr>
          <w:rFonts w:ascii="Century Gothic" w:hAnsi="Century Gothic"/>
        </w:rPr>
        <w:t>under a Business Interruption insurance policy (</w:t>
      </w:r>
      <w:r w:rsidR="000437F0">
        <w:rPr>
          <w:rFonts w:ascii="Century Gothic" w:hAnsi="Century Gothic"/>
        </w:rPr>
        <w:t xml:space="preserve">the </w:t>
      </w:r>
      <w:r w:rsidR="00C320C6">
        <w:rPr>
          <w:rFonts w:ascii="Century Gothic" w:hAnsi="Century Gothic"/>
        </w:rPr>
        <w:t>BI policy) arbitrated by</w:t>
      </w:r>
      <w:r w:rsidR="007B2604">
        <w:rPr>
          <w:rFonts w:ascii="Century Gothic" w:hAnsi="Century Gothic"/>
        </w:rPr>
        <w:t xml:space="preserve"> a 3-man arbitral Tribunal</w:t>
      </w:r>
      <w:r w:rsidR="000664BC">
        <w:rPr>
          <w:rStyle w:val="FootnoteReference"/>
          <w:rFonts w:ascii="Century Gothic" w:hAnsi="Century Gothic"/>
        </w:rPr>
        <w:footnoteReference w:id="3"/>
      </w:r>
      <w:r w:rsidR="007B2604">
        <w:rPr>
          <w:rFonts w:ascii="Century Gothic" w:hAnsi="Century Gothic"/>
        </w:rPr>
        <w:t xml:space="preserve"> (the Tribunal) whose Award was in favour of the Claimant,</w:t>
      </w:r>
    </w:p>
    <w:p w14:paraId="794F94C7" w14:textId="7D0B9D9C" w:rsidR="00FC79E6" w:rsidRDefault="00FC79E6" w:rsidP="00B77B26">
      <w:pPr>
        <w:pStyle w:val="NoSpacing"/>
        <w:jc w:val="both"/>
        <w:rPr>
          <w:rFonts w:ascii="Century Gothic" w:hAnsi="Century Gothic"/>
        </w:rPr>
      </w:pPr>
    </w:p>
    <w:p w14:paraId="41AA6BAC" w14:textId="7E1394ED" w:rsidR="00FC79E6" w:rsidRDefault="00FC79E6" w:rsidP="00B77B26">
      <w:pPr>
        <w:pStyle w:val="NoSpacing"/>
        <w:jc w:val="both"/>
        <w:rPr>
          <w:rFonts w:ascii="Century Gothic" w:hAnsi="Century Gothic"/>
        </w:rPr>
      </w:pPr>
      <w:r>
        <w:rPr>
          <w:rFonts w:ascii="Century Gothic" w:hAnsi="Century Gothic"/>
        </w:rPr>
        <w:t>For reasons of confidentiality and privacy, the identities of the parties and Tribunal</w:t>
      </w:r>
      <w:r w:rsidR="000664BC">
        <w:rPr>
          <w:rFonts w:ascii="Century Gothic" w:hAnsi="Century Gothic"/>
        </w:rPr>
        <w:t xml:space="preserve"> </w:t>
      </w:r>
      <w:r>
        <w:rPr>
          <w:rFonts w:ascii="Century Gothic" w:hAnsi="Century Gothic"/>
        </w:rPr>
        <w:t xml:space="preserve">members as well as the date </w:t>
      </w:r>
      <w:r w:rsidR="000664BC">
        <w:rPr>
          <w:rFonts w:ascii="Century Gothic" w:hAnsi="Century Gothic"/>
        </w:rPr>
        <w:t xml:space="preserve">of fire </w:t>
      </w:r>
      <w:r>
        <w:rPr>
          <w:rFonts w:ascii="Century Gothic" w:hAnsi="Century Gothic"/>
        </w:rPr>
        <w:t>and location of the palm oil mill could not be divulged.</w:t>
      </w:r>
    </w:p>
    <w:p w14:paraId="2738C21F" w14:textId="77777777" w:rsidR="00FC79E6" w:rsidRDefault="00FC79E6" w:rsidP="00B77B26">
      <w:pPr>
        <w:pStyle w:val="NoSpacing"/>
        <w:jc w:val="both"/>
        <w:rPr>
          <w:rFonts w:ascii="Century Gothic" w:hAnsi="Century Gothic"/>
        </w:rPr>
      </w:pPr>
    </w:p>
    <w:p w14:paraId="18BBCD06" w14:textId="7A55A373" w:rsidR="00E61376" w:rsidRDefault="00FC79E6" w:rsidP="00B77B26">
      <w:pPr>
        <w:pStyle w:val="NoSpacing"/>
        <w:jc w:val="both"/>
        <w:rPr>
          <w:rFonts w:ascii="Century Gothic" w:hAnsi="Century Gothic"/>
        </w:rPr>
      </w:pPr>
      <w:r>
        <w:rPr>
          <w:rFonts w:ascii="Century Gothic" w:hAnsi="Century Gothic"/>
        </w:rPr>
        <w:t>In a nutshell, t</w:t>
      </w:r>
      <w:r w:rsidR="007B2604">
        <w:rPr>
          <w:rFonts w:ascii="Century Gothic" w:hAnsi="Century Gothic"/>
        </w:rPr>
        <w:t>he Tribuna</w:t>
      </w:r>
      <w:r w:rsidR="00C11F8F">
        <w:rPr>
          <w:rFonts w:ascii="Century Gothic" w:hAnsi="Century Gothic"/>
        </w:rPr>
        <w:t>l</w:t>
      </w:r>
      <w:r w:rsidR="00BA42D2">
        <w:rPr>
          <w:rFonts w:ascii="Century Gothic" w:hAnsi="Century Gothic"/>
        </w:rPr>
        <w:t>, after hearing lengthy and protracted testimonies of expert witnesses and reviewing voluminous documentary evidence including bundles of authoritie</w:t>
      </w:r>
      <w:r w:rsidR="00E61376">
        <w:rPr>
          <w:rFonts w:ascii="Century Gothic" w:hAnsi="Century Gothic"/>
        </w:rPr>
        <w:t xml:space="preserve">s, </w:t>
      </w:r>
      <w:r w:rsidR="0063381E">
        <w:rPr>
          <w:rFonts w:ascii="Century Gothic" w:hAnsi="Century Gothic"/>
        </w:rPr>
        <w:t>held</w:t>
      </w:r>
      <w:r w:rsidR="00C11F8F">
        <w:rPr>
          <w:rFonts w:ascii="Century Gothic" w:hAnsi="Century Gothic"/>
        </w:rPr>
        <w:t xml:space="preserve"> </w:t>
      </w:r>
      <w:r w:rsidR="00C320C6">
        <w:rPr>
          <w:rFonts w:ascii="Century Gothic" w:hAnsi="Century Gothic"/>
        </w:rPr>
        <w:t xml:space="preserve">ipso facto </w:t>
      </w:r>
      <w:r w:rsidR="00C11F8F">
        <w:rPr>
          <w:rFonts w:ascii="Century Gothic" w:hAnsi="Century Gothic"/>
        </w:rPr>
        <w:t xml:space="preserve">cognizance to the fact that Depreciation is not a </w:t>
      </w:r>
      <w:r w:rsidR="00564078">
        <w:rPr>
          <w:rFonts w:ascii="Century Gothic" w:hAnsi="Century Gothic"/>
        </w:rPr>
        <w:t>f</w:t>
      </w:r>
      <w:r w:rsidR="00C11F8F">
        <w:rPr>
          <w:rFonts w:ascii="Century Gothic" w:hAnsi="Century Gothic"/>
        </w:rPr>
        <w:t xml:space="preserve">ixed </w:t>
      </w:r>
      <w:r w:rsidR="00564078">
        <w:rPr>
          <w:rFonts w:ascii="Century Gothic" w:hAnsi="Century Gothic"/>
        </w:rPr>
        <w:t>c</w:t>
      </w:r>
      <w:r w:rsidR="00C11F8F">
        <w:rPr>
          <w:rFonts w:ascii="Century Gothic" w:hAnsi="Century Gothic"/>
        </w:rPr>
        <w:t>ost</w:t>
      </w:r>
      <w:r w:rsidR="00564078">
        <w:rPr>
          <w:rStyle w:val="FootnoteReference"/>
          <w:rFonts w:ascii="Century Gothic" w:hAnsi="Century Gothic"/>
        </w:rPr>
        <w:footnoteReference w:id="4"/>
      </w:r>
      <w:r w:rsidR="00564078">
        <w:rPr>
          <w:rFonts w:ascii="Century Gothic" w:hAnsi="Century Gothic"/>
        </w:rPr>
        <w:t xml:space="preserve"> (hereinafter referred to </w:t>
      </w:r>
      <w:r w:rsidR="0063381E">
        <w:rPr>
          <w:rFonts w:ascii="Century Gothic" w:hAnsi="Century Gothic"/>
        </w:rPr>
        <w:t>as</w:t>
      </w:r>
      <w:r w:rsidR="00564078">
        <w:rPr>
          <w:rFonts w:ascii="Century Gothic" w:hAnsi="Century Gothic"/>
        </w:rPr>
        <w:t xml:space="preserve"> standing charge)</w:t>
      </w:r>
      <w:r>
        <w:rPr>
          <w:rFonts w:ascii="Century Gothic" w:hAnsi="Century Gothic"/>
        </w:rPr>
        <w:t>,</w:t>
      </w:r>
      <w:r w:rsidR="00C11F8F">
        <w:rPr>
          <w:rFonts w:ascii="Century Gothic" w:hAnsi="Century Gothic"/>
        </w:rPr>
        <w:t xml:space="preserve"> for th</w:t>
      </w:r>
      <w:r w:rsidR="00564078">
        <w:rPr>
          <w:rFonts w:ascii="Century Gothic" w:hAnsi="Century Gothic"/>
        </w:rPr>
        <w:t>e purpose of</w:t>
      </w:r>
      <w:r w:rsidR="00C11F8F">
        <w:rPr>
          <w:rFonts w:ascii="Century Gothic" w:hAnsi="Century Gothic"/>
        </w:rPr>
        <w:t xml:space="preserve"> the Gross Profit</w:t>
      </w:r>
      <w:r w:rsidR="00265DD2">
        <w:rPr>
          <w:rStyle w:val="FootnoteReference"/>
          <w:rFonts w:ascii="Century Gothic" w:hAnsi="Century Gothic"/>
        </w:rPr>
        <w:footnoteReference w:id="5"/>
      </w:r>
      <w:r w:rsidR="00E61376">
        <w:rPr>
          <w:rFonts w:ascii="Century Gothic" w:hAnsi="Century Gothic"/>
        </w:rPr>
        <w:t>.</w:t>
      </w:r>
    </w:p>
    <w:p w14:paraId="5C0A626D" w14:textId="2414EF07" w:rsidR="00C320C6" w:rsidRDefault="00C320C6" w:rsidP="00B77B26">
      <w:pPr>
        <w:pStyle w:val="NoSpacing"/>
        <w:jc w:val="both"/>
        <w:rPr>
          <w:rFonts w:ascii="Century Gothic" w:hAnsi="Century Gothic"/>
        </w:rPr>
      </w:pPr>
    </w:p>
    <w:p w14:paraId="5222B735" w14:textId="1D6F9C94" w:rsidR="00B54B51" w:rsidRDefault="00B54B51" w:rsidP="00B77B26">
      <w:pPr>
        <w:pStyle w:val="NoSpacing"/>
        <w:jc w:val="both"/>
        <w:rPr>
          <w:rFonts w:ascii="Century Gothic" w:hAnsi="Century Gothic"/>
        </w:rPr>
      </w:pPr>
      <w:r>
        <w:rPr>
          <w:rFonts w:ascii="Century Gothic" w:hAnsi="Century Gothic"/>
        </w:rPr>
        <w:t xml:space="preserve">The short story is that by </w:t>
      </w:r>
      <w:r w:rsidR="005472EB">
        <w:rPr>
          <w:rFonts w:ascii="Century Gothic" w:hAnsi="Century Gothic"/>
        </w:rPr>
        <w:t>including</w:t>
      </w:r>
      <w:r>
        <w:rPr>
          <w:rFonts w:ascii="Century Gothic" w:hAnsi="Century Gothic"/>
        </w:rPr>
        <w:t xml:space="preserve"> Depreciation to the standing charges, the rate of gross profit by definition would be inflated up to an unrealistic level which was not cogently reflective of the Business insured. For this purpose, Depreciation was regarded as an item suitably</w:t>
      </w:r>
      <w:r w:rsidR="002B0914">
        <w:rPr>
          <w:rFonts w:ascii="Century Gothic" w:hAnsi="Century Gothic"/>
        </w:rPr>
        <w:t xml:space="preserve"> located</w:t>
      </w:r>
      <w:r>
        <w:rPr>
          <w:rFonts w:ascii="Century Gothic" w:hAnsi="Century Gothic"/>
        </w:rPr>
        <w:t xml:space="preserve"> in the </w:t>
      </w:r>
      <w:r w:rsidR="00D263D8">
        <w:rPr>
          <w:rFonts w:ascii="Century Gothic" w:hAnsi="Century Gothic"/>
        </w:rPr>
        <w:t>Specified Working Expenses (“SWE”)</w:t>
      </w:r>
      <w:r w:rsidR="003E768A">
        <w:rPr>
          <w:rFonts w:ascii="Century Gothic" w:hAnsi="Century Gothic"/>
        </w:rPr>
        <w:t>.</w:t>
      </w:r>
    </w:p>
    <w:p w14:paraId="77ADDC52" w14:textId="77777777" w:rsidR="00B54B51" w:rsidRDefault="00B54B51" w:rsidP="00B77B26">
      <w:pPr>
        <w:pStyle w:val="NoSpacing"/>
        <w:jc w:val="both"/>
        <w:rPr>
          <w:rFonts w:ascii="Century Gothic" w:hAnsi="Century Gothic"/>
        </w:rPr>
      </w:pPr>
    </w:p>
    <w:p w14:paraId="5615E0A7" w14:textId="2D0DE8FD" w:rsidR="00C320C6" w:rsidRDefault="00C320C6" w:rsidP="00B77B26">
      <w:pPr>
        <w:pStyle w:val="NoSpacing"/>
        <w:jc w:val="both"/>
        <w:rPr>
          <w:rFonts w:ascii="Century Gothic" w:hAnsi="Century Gothic"/>
        </w:rPr>
      </w:pPr>
      <w:r>
        <w:rPr>
          <w:rFonts w:ascii="Century Gothic" w:hAnsi="Century Gothic"/>
        </w:rPr>
        <w:t>It has to be mentioned here that an Arbitral Award</w:t>
      </w:r>
      <w:r w:rsidR="00CE2FB7">
        <w:rPr>
          <w:rStyle w:val="FootnoteReference"/>
          <w:rFonts w:ascii="Century Gothic" w:hAnsi="Century Gothic"/>
        </w:rPr>
        <w:footnoteReference w:id="6"/>
      </w:r>
      <w:r>
        <w:rPr>
          <w:rFonts w:ascii="Century Gothic" w:hAnsi="Century Gothic"/>
        </w:rPr>
        <w:t xml:space="preserve"> is a private </w:t>
      </w:r>
      <w:r w:rsidR="00FA1671">
        <w:rPr>
          <w:rFonts w:ascii="Century Gothic" w:hAnsi="Century Gothic"/>
        </w:rPr>
        <w:t xml:space="preserve">alternative </w:t>
      </w:r>
      <w:r w:rsidR="00C263A2">
        <w:rPr>
          <w:rFonts w:ascii="Century Gothic" w:hAnsi="Century Gothic"/>
        </w:rPr>
        <w:t xml:space="preserve">dispute resolution </w:t>
      </w:r>
      <w:r w:rsidR="005E118E">
        <w:rPr>
          <w:rFonts w:ascii="Century Gothic" w:hAnsi="Century Gothic"/>
        </w:rPr>
        <w:t xml:space="preserve">(ADR) </w:t>
      </w:r>
      <w:r w:rsidR="00FA1671">
        <w:rPr>
          <w:rFonts w:ascii="Century Gothic" w:hAnsi="Century Gothic"/>
        </w:rPr>
        <w:t xml:space="preserve">settlement </w:t>
      </w:r>
      <w:r w:rsidR="00C263A2">
        <w:rPr>
          <w:rFonts w:ascii="Century Gothic" w:hAnsi="Century Gothic"/>
        </w:rPr>
        <w:t xml:space="preserve">between the contractual parties in dispute </w:t>
      </w:r>
      <w:r>
        <w:rPr>
          <w:rFonts w:ascii="Century Gothic" w:hAnsi="Century Gothic"/>
        </w:rPr>
        <w:t xml:space="preserve">and is not regarded as a </w:t>
      </w:r>
      <w:r w:rsidR="00B11474" w:rsidRPr="00B11474">
        <w:rPr>
          <w:rFonts w:ascii="Century Gothic" w:hAnsi="Century Gothic"/>
          <w:i/>
        </w:rPr>
        <w:t>stare decisis</w:t>
      </w:r>
      <w:r w:rsidR="00B11474">
        <w:rPr>
          <w:rFonts w:ascii="Century Gothic" w:hAnsi="Century Gothic"/>
        </w:rPr>
        <w:t xml:space="preserve"> (</w:t>
      </w:r>
      <w:r>
        <w:rPr>
          <w:rFonts w:ascii="Century Gothic" w:hAnsi="Century Gothic"/>
        </w:rPr>
        <w:t>legal precedent</w:t>
      </w:r>
      <w:r w:rsidR="00B11474">
        <w:rPr>
          <w:rFonts w:ascii="Century Gothic" w:hAnsi="Century Gothic"/>
        </w:rPr>
        <w:t>)</w:t>
      </w:r>
      <w:r>
        <w:rPr>
          <w:rFonts w:ascii="Century Gothic" w:hAnsi="Century Gothic"/>
        </w:rPr>
        <w:t xml:space="preserve">, notwithstanding, due process of law </w:t>
      </w:r>
      <w:r w:rsidR="00E61376">
        <w:rPr>
          <w:rFonts w:ascii="Century Gothic" w:hAnsi="Century Gothic"/>
        </w:rPr>
        <w:t>had been</w:t>
      </w:r>
      <w:r>
        <w:rPr>
          <w:rFonts w:ascii="Century Gothic" w:hAnsi="Century Gothic"/>
        </w:rPr>
        <w:t xml:space="preserve"> fully complied with, throughout the proceedings, in accordance with the Malaysian Arbitration Act </w:t>
      </w:r>
      <w:r w:rsidR="00C263A2">
        <w:rPr>
          <w:rFonts w:ascii="Century Gothic" w:hAnsi="Century Gothic"/>
        </w:rPr>
        <w:t>2005 (Act 646)</w:t>
      </w:r>
      <w:r w:rsidR="009B3CC4">
        <w:rPr>
          <w:rFonts w:ascii="Century Gothic" w:hAnsi="Century Gothic"/>
        </w:rPr>
        <w:t xml:space="preserve"> by</w:t>
      </w:r>
      <w:r w:rsidR="00BD73FB">
        <w:rPr>
          <w:rFonts w:ascii="Century Gothic" w:hAnsi="Century Gothic"/>
        </w:rPr>
        <w:t xml:space="preserve"> three</w:t>
      </w:r>
      <w:r w:rsidR="009B3CC4">
        <w:rPr>
          <w:rFonts w:ascii="Century Gothic" w:hAnsi="Century Gothic"/>
        </w:rPr>
        <w:t xml:space="preserve"> eminent jurists</w:t>
      </w:r>
      <w:r w:rsidR="00BD73FB">
        <w:rPr>
          <w:rFonts w:ascii="Century Gothic" w:hAnsi="Century Gothic"/>
        </w:rPr>
        <w:t xml:space="preserve"> whose grounds of decision are worth its weight in gold.</w:t>
      </w:r>
    </w:p>
    <w:p w14:paraId="5608AD9D" w14:textId="59B6B013" w:rsidR="0024338D" w:rsidRDefault="0024338D" w:rsidP="00B77B26">
      <w:pPr>
        <w:pStyle w:val="NoSpacing"/>
        <w:jc w:val="both"/>
        <w:rPr>
          <w:rFonts w:ascii="Century Gothic" w:hAnsi="Century Gothic"/>
        </w:rPr>
      </w:pPr>
    </w:p>
    <w:p w14:paraId="6C6750FA" w14:textId="77777777" w:rsidR="00AA6319" w:rsidRDefault="00AA6319" w:rsidP="00B77B26">
      <w:pPr>
        <w:pStyle w:val="NoSpacing"/>
        <w:jc w:val="both"/>
        <w:rPr>
          <w:rFonts w:ascii="Century Gothic" w:hAnsi="Century Gothic"/>
          <w:b/>
        </w:rPr>
      </w:pPr>
    </w:p>
    <w:p w14:paraId="251AA33C" w14:textId="7AB0D1A3" w:rsidR="00862947" w:rsidRPr="001930B4" w:rsidRDefault="00862947" w:rsidP="00B77B26">
      <w:pPr>
        <w:pStyle w:val="NoSpacing"/>
        <w:jc w:val="both"/>
        <w:rPr>
          <w:rFonts w:ascii="Century Gothic" w:hAnsi="Century Gothic"/>
          <w:b/>
        </w:rPr>
      </w:pPr>
      <w:r w:rsidRPr="001930B4">
        <w:rPr>
          <w:rFonts w:ascii="Century Gothic" w:hAnsi="Century Gothic"/>
          <w:b/>
        </w:rPr>
        <w:t>What is Depreciation?</w:t>
      </w:r>
    </w:p>
    <w:p w14:paraId="09F4ED85" w14:textId="63E5AD7D" w:rsidR="00862947" w:rsidRDefault="00862947" w:rsidP="00B77B26">
      <w:pPr>
        <w:pStyle w:val="NoSpacing"/>
        <w:jc w:val="both"/>
        <w:rPr>
          <w:rFonts w:ascii="Century Gothic" w:hAnsi="Century Gothic"/>
        </w:rPr>
      </w:pPr>
    </w:p>
    <w:p w14:paraId="247768BA" w14:textId="5DF4C64B" w:rsidR="001930B4" w:rsidRDefault="001930B4" w:rsidP="00B77B26">
      <w:pPr>
        <w:pStyle w:val="NoSpacing"/>
        <w:jc w:val="both"/>
        <w:rPr>
          <w:rFonts w:ascii="Century Gothic" w:hAnsi="Century Gothic"/>
        </w:rPr>
      </w:pPr>
      <w:r>
        <w:rPr>
          <w:rFonts w:ascii="Century Gothic" w:hAnsi="Century Gothic"/>
        </w:rPr>
        <w:t>Before moving on, it would be necessary to understand the meaning of Depreciation.</w:t>
      </w:r>
    </w:p>
    <w:p w14:paraId="126818B8" w14:textId="3E890CC8" w:rsidR="002C015F" w:rsidRDefault="002C015F" w:rsidP="00B77B26">
      <w:pPr>
        <w:pStyle w:val="NoSpacing"/>
        <w:jc w:val="both"/>
        <w:rPr>
          <w:rFonts w:ascii="Century Gothic" w:hAnsi="Century Gothic"/>
        </w:rPr>
      </w:pPr>
    </w:p>
    <w:p w14:paraId="2ABC2881" w14:textId="247EF21B" w:rsidR="002C015F" w:rsidRPr="00AB23AB" w:rsidRDefault="00837E32" w:rsidP="00B77B26">
      <w:pPr>
        <w:pStyle w:val="NoSpacing"/>
        <w:jc w:val="both"/>
        <w:rPr>
          <w:rFonts w:ascii="Century Gothic" w:hAnsi="Century Gothic"/>
          <w:b/>
          <w:u w:val="single"/>
        </w:rPr>
      </w:pPr>
      <w:r w:rsidRPr="00AB23AB">
        <w:rPr>
          <w:rFonts w:ascii="Century Gothic" w:hAnsi="Century Gothic"/>
          <w:b/>
          <w:u w:val="single"/>
        </w:rPr>
        <w:t xml:space="preserve">a)  </w:t>
      </w:r>
      <w:r w:rsidR="002C015F" w:rsidRPr="00AB23AB">
        <w:rPr>
          <w:rFonts w:ascii="Century Gothic" w:hAnsi="Century Gothic"/>
          <w:b/>
          <w:u w:val="single"/>
        </w:rPr>
        <w:t xml:space="preserve">BI </w:t>
      </w:r>
      <w:r w:rsidR="00C320C6" w:rsidRPr="00AB23AB">
        <w:rPr>
          <w:rFonts w:ascii="Century Gothic" w:hAnsi="Century Gothic"/>
          <w:b/>
          <w:u w:val="single"/>
        </w:rPr>
        <w:t>p</w:t>
      </w:r>
      <w:r w:rsidR="002C015F" w:rsidRPr="00AB23AB">
        <w:rPr>
          <w:rFonts w:ascii="Century Gothic" w:hAnsi="Century Gothic"/>
          <w:b/>
          <w:u w:val="single"/>
        </w:rPr>
        <w:t>olicy definition</w:t>
      </w:r>
    </w:p>
    <w:p w14:paraId="00B027AC" w14:textId="68334A62" w:rsidR="001930B4" w:rsidRDefault="001930B4" w:rsidP="00B77B26">
      <w:pPr>
        <w:pStyle w:val="NoSpacing"/>
        <w:jc w:val="both"/>
        <w:rPr>
          <w:rFonts w:ascii="Century Gothic" w:hAnsi="Century Gothic"/>
        </w:rPr>
      </w:pPr>
    </w:p>
    <w:p w14:paraId="12B977BB" w14:textId="2415D0AB" w:rsidR="002C015F" w:rsidRDefault="00E70F9F" w:rsidP="00B77B26">
      <w:pPr>
        <w:pStyle w:val="NoSpacing"/>
        <w:jc w:val="both"/>
        <w:rPr>
          <w:rFonts w:ascii="Century Gothic" w:hAnsi="Century Gothic"/>
        </w:rPr>
      </w:pPr>
      <w:r>
        <w:rPr>
          <w:rFonts w:ascii="Century Gothic" w:hAnsi="Century Gothic"/>
        </w:rPr>
        <w:t>T</w:t>
      </w:r>
      <w:r w:rsidR="002C015F">
        <w:rPr>
          <w:rFonts w:ascii="Century Gothic" w:hAnsi="Century Gothic"/>
        </w:rPr>
        <w:t xml:space="preserve">he </w:t>
      </w:r>
      <w:r>
        <w:rPr>
          <w:rFonts w:ascii="Century Gothic" w:hAnsi="Century Gothic"/>
        </w:rPr>
        <w:t xml:space="preserve">Business Interruption insurance </w:t>
      </w:r>
      <w:r w:rsidR="002C015F">
        <w:rPr>
          <w:rFonts w:ascii="Century Gothic" w:hAnsi="Century Gothic"/>
        </w:rPr>
        <w:t xml:space="preserve">policy </w:t>
      </w:r>
      <w:r>
        <w:rPr>
          <w:rFonts w:ascii="Century Gothic" w:hAnsi="Century Gothic"/>
        </w:rPr>
        <w:t xml:space="preserve">has no definition of </w:t>
      </w:r>
      <w:r w:rsidR="002C015F">
        <w:rPr>
          <w:rFonts w:ascii="Century Gothic" w:hAnsi="Century Gothic"/>
        </w:rPr>
        <w:t>Depreciation.</w:t>
      </w:r>
    </w:p>
    <w:p w14:paraId="5EE649F8" w14:textId="77777777" w:rsidR="002C015F" w:rsidRDefault="002C015F" w:rsidP="00B77B26">
      <w:pPr>
        <w:pStyle w:val="NoSpacing"/>
        <w:jc w:val="both"/>
        <w:rPr>
          <w:rFonts w:ascii="Century Gothic" w:hAnsi="Century Gothic"/>
        </w:rPr>
      </w:pPr>
    </w:p>
    <w:p w14:paraId="5B868235" w14:textId="577CC5F5" w:rsidR="001930B4" w:rsidRPr="00AB23AB" w:rsidRDefault="00837E32" w:rsidP="00B77B26">
      <w:pPr>
        <w:pStyle w:val="NoSpacing"/>
        <w:jc w:val="both"/>
        <w:rPr>
          <w:rFonts w:ascii="Century Gothic" w:hAnsi="Century Gothic"/>
          <w:b/>
          <w:u w:val="single"/>
        </w:rPr>
      </w:pPr>
      <w:r w:rsidRPr="00AB23AB">
        <w:rPr>
          <w:rFonts w:ascii="Century Gothic" w:hAnsi="Century Gothic"/>
          <w:b/>
          <w:u w:val="single"/>
        </w:rPr>
        <w:t xml:space="preserve">b)  </w:t>
      </w:r>
      <w:r w:rsidR="001930B4" w:rsidRPr="00AB23AB">
        <w:rPr>
          <w:rFonts w:ascii="Century Gothic" w:hAnsi="Century Gothic"/>
          <w:b/>
          <w:u w:val="single"/>
        </w:rPr>
        <w:t>Dictionary definition</w:t>
      </w:r>
    </w:p>
    <w:p w14:paraId="6115424C" w14:textId="061B6CD0" w:rsidR="001930B4" w:rsidRDefault="001930B4" w:rsidP="00B77B26">
      <w:pPr>
        <w:pStyle w:val="NoSpacing"/>
        <w:jc w:val="both"/>
        <w:rPr>
          <w:rFonts w:ascii="Century Gothic" w:hAnsi="Century Gothic"/>
        </w:rPr>
      </w:pPr>
    </w:p>
    <w:p w14:paraId="6D14CA95" w14:textId="7414C839" w:rsidR="002C015F" w:rsidRDefault="002C015F" w:rsidP="00B77B26">
      <w:pPr>
        <w:pStyle w:val="NoSpacing"/>
        <w:jc w:val="both"/>
        <w:rPr>
          <w:rFonts w:ascii="Century Gothic" w:hAnsi="Century Gothic"/>
        </w:rPr>
      </w:pPr>
      <w:r>
        <w:rPr>
          <w:rFonts w:ascii="Century Gothic" w:hAnsi="Century Gothic"/>
        </w:rPr>
        <w:t>Oxford English Dictionary at page 221 defines ‘depreciate’ v</w:t>
      </w:r>
      <w:r w:rsidR="00E70F9F">
        <w:rPr>
          <w:rFonts w:ascii="Century Gothic" w:hAnsi="Century Gothic"/>
        </w:rPr>
        <w:t>erb</w:t>
      </w:r>
      <w:r>
        <w:rPr>
          <w:rFonts w:ascii="Century Gothic" w:hAnsi="Century Gothic"/>
        </w:rPr>
        <w:t>. (derivative: depreciation n</w:t>
      </w:r>
      <w:r w:rsidR="00E70F9F">
        <w:rPr>
          <w:rFonts w:ascii="Century Gothic" w:hAnsi="Century Gothic"/>
        </w:rPr>
        <w:t>oun</w:t>
      </w:r>
      <w:r>
        <w:rPr>
          <w:rFonts w:ascii="Century Gothic" w:hAnsi="Century Gothic"/>
        </w:rPr>
        <w:t>.) to mean “reduce in value over time”.</w:t>
      </w:r>
    </w:p>
    <w:p w14:paraId="48A66C3A" w14:textId="3392C75C" w:rsidR="00E70F9F" w:rsidRDefault="00E70F9F" w:rsidP="00B77B26">
      <w:pPr>
        <w:pStyle w:val="NoSpacing"/>
        <w:jc w:val="both"/>
        <w:rPr>
          <w:rFonts w:ascii="Century Gothic" w:hAnsi="Century Gothic"/>
        </w:rPr>
      </w:pPr>
    </w:p>
    <w:p w14:paraId="1448CE0D" w14:textId="7C81ED7B" w:rsidR="00862947" w:rsidRDefault="00E70F9F" w:rsidP="00B77B26">
      <w:pPr>
        <w:pStyle w:val="NoSpacing"/>
        <w:jc w:val="both"/>
        <w:rPr>
          <w:rFonts w:ascii="Century Gothic" w:hAnsi="Century Gothic"/>
        </w:rPr>
      </w:pPr>
      <w:r>
        <w:rPr>
          <w:rFonts w:ascii="Century Gothic" w:hAnsi="Century Gothic"/>
        </w:rPr>
        <w:lastRenderedPageBreak/>
        <w:t>Longman Dictionary of Contemporary English defines Depreciation, noun, to mean “reduction in the value or price of something” (at pages 367 &amp; 368).</w:t>
      </w:r>
    </w:p>
    <w:p w14:paraId="6ABC4E2E" w14:textId="77777777" w:rsidR="00CE2FB7" w:rsidRDefault="00CE2FB7" w:rsidP="00B77B26">
      <w:pPr>
        <w:pStyle w:val="NoSpacing"/>
        <w:jc w:val="both"/>
        <w:rPr>
          <w:rFonts w:ascii="Century Gothic" w:hAnsi="Century Gothic"/>
          <w:b/>
        </w:rPr>
      </w:pPr>
    </w:p>
    <w:p w14:paraId="523701B7" w14:textId="55102C9A" w:rsidR="00BD73FB" w:rsidRDefault="00837E32" w:rsidP="00B77B26">
      <w:pPr>
        <w:pStyle w:val="NoSpacing"/>
        <w:jc w:val="both"/>
        <w:rPr>
          <w:rFonts w:ascii="Century Gothic" w:hAnsi="Century Gothic"/>
          <w:u w:val="single"/>
        </w:rPr>
      </w:pPr>
      <w:r w:rsidRPr="00AB23AB">
        <w:rPr>
          <w:rFonts w:ascii="Century Gothic" w:hAnsi="Century Gothic"/>
          <w:b/>
        </w:rPr>
        <w:t>c) Malaysian Accounting Standards Board (MASB)</w:t>
      </w:r>
      <w:r w:rsidR="0079444D" w:rsidRPr="00AB23AB">
        <w:rPr>
          <w:rStyle w:val="FootnoteReference"/>
          <w:rFonts w:ascii="Century Gothic" w:hAnsi="Century Gothic"/>
          <w:b/>
        </w:rPr>
        <w:footnoteReference w:id="7"/>
      </w:r>
      <w:r>
        <w:rPr>
          <w:rFonts w:ascii="Century Gothic" w:hAnsi="Century Gothic"/>
        </w:rPr>
        <w:t xml:space="preserve"> – Standard 14: Depreciation </w:t>
      </w:r>
      <w:r w:rsidRPr="00837E32">
        <w:rPr>
          <w:rFonts w:ascii="Century Gothic" w:hAnsi="Century Gothic"/>
          <w:u w:val="single"/>
        </w:rPr>
        <w:t>Accounting – Definition of Depreciatio</w:t>
      </w:r>
      <w:r>
        <w:rPr>
          <w:rFonts w:ascii="Century Gothic" w:hAnsi="Century Gothic"/>
          <w:u w:val="single"/>
        </w:rPr>
        <w:t>n (at page 4 paragraph 4)</w:t>
      </w:r>
    </w:p>
    <w:p w14:paraId="00AB39E6" w14:textId="77777777" w:rsidR="00265DD2" w:rsidRDefault="00265DD2" w:rsidP="00B77B26">
      <w:pPr>
        <w:pStyle w:val="NoSpacing"/>
        <w:jc w:val="both"/>
        <w:rPr>
          <w:rFonts w:ascii="Century Gothic" w:hAnsi="Century Gothic"/>
        </w:rPr>
      </w:pPr>
    </w:p>
    <w:p w14:paraId="54245A1E" w14:textId="65DA3EE1" w:rsidR="00837E32" w:rsidRPr="00BD73FB" w:rsidRDefault="00837E32" w:rsidP="00B77B26">
      <w:pPr>
        <w:pStyle w:val="NoSpacing"/>
        <w:jc w:val="both"/>
        <w:rPr>
          <w:rFonts w:ascii="Century Gothic" w:hAnsi="Century Gothic"/>
          <w:u w:val="single"/>
        </w:rPr>
      </w:pPr>
      <w:r>
        <w:rPr>
          <w:rFonts w:ascii="Century Gothic" w:hAnsi="Century Gothic"/>
        </w:rPr>
        <w:t xml:space="preserve">“Depreciation is the </w:t>
      </w:r>
      <w:r w:rsidRPr="00E70FC2">
        <w:rPr>
          <w:rFonts w:ascii="Century Gothic" w:hAnsi="Century Gothic"/>
          <w:i/>
        </w:rPr>
        <w:t>all</w:t>
      </w:r>
      <w:r w:rsidR="00203B1D" w:rsidRPr="00E70FC2">
        <w:rPr>
          <w:rFonts w:ascii="Century Gothic" w:hAnsi="Century Gothic"/>
          <w:i/>
        </w:rPr>
        <w:t>ocation</w:t>
      </w:r>
      <w:r w:rsidR="00AA2617">
        <w:rPr>
          <w:rFonts w:ascii="Century Gothic" w:hAnsi="Century Gothic"/>
        </w:rPr>
        <w:t>*</w:t>
      </w:r>
      <w:r>
        <w:rPr>
          <w:rFonts w:ascii="Century Gothic" w:hAnsi="Century Gothic"/>
        </w:rPr>
        <w:t xml:space="preserve"> of the depreciable amount of an asset over its estimated useful life. Depreciation for the accounting period is charged to net profit or loss for the period either directly or indirectly”</w:t>
      </w:r>
    </w:p>
    <w:p w14:paraId="71F7C600" w14:textId="77777777" w:rsidR="00265DD2" w:rsidRDefault="00265DD2" w:rsidP="00B77B26">
      <w:pPr>
        <w:pStyle w:val="NoSpacing"/>
        <w:jc w:val="both"/>
        <w:rPr>
          <w:rFonts w:ascii="Century Gothic" w:hAnsi="Century Gothic"/>
        </w:rPr>
      </w:pPr>
    </w:p>
    <w:p w14:paraId="439866CE" w14:textId="3A27B064" w:rsidR="000437F0" w:rsidRDefault="000437F0" w:rsidP="00B77B26">
      <w:pPr>
        <w:pStyle w:val="NoSpacing"/>
        <w:jc w:val="both"/>
        <w:rPr>
          <w:rFonts w:ascii="Century Gothic" w:hAnsi="Century Gothic"/>
        </w:rPr>
      </w:pPr>
      <w:r>
        <w:rPr>
          <w:rFonts w:ascii="Century Gothic" w:hAnsi="Century Gothic"/>
        </w:rPr>
        <w:t>The keyword “allo</w:t>
      </w:r>
      <w:r w:rsidR="00203B1D">
        <w:rPr>
          <w:rFonts w:ascii="Century Gothic" w:hAnsi="Century Gothic"/>
        </w:rPr>
        <w:t>cation</w:t>
      </w:r>
      <w:r w:rsidR="00374967">
        <w:rPr>
          <w:rFonts w:ascii="Century Gothic" w:hAnsi="Century Gothic"/>
        </w:rPr>
        <w:t xml:space="preserve">” is distinguishable from </w:t>
      </w:r>
      <w:r w:rsidR="004910C6">
        <w:rPr>
          <w:rFonts w:ascii="Century Gothic" w:hAnsi="Century Gothic"/>
        </w:rPr>
        <w:t xml:space="preserve">a </w:t>
      </w:r>
      <w:r w:rsidR="00374967">
        <w:rPr>
          <w:rFonts w:ascii="Century Gothic" w:hAnsi="Century Gothic"/>
        </w:rPr>
        <w:t>Standing Charge</w:t>
      </w:r>
      <w:r w:rsidR="00265DD2">
        <w:rPr>
          <w:rStyle w:val="FootnoteReference"/>
          <w:rFonts w:ascii="Century Gothic" w:hAnsi="Century Gothic"/>
        </w:rPr>
        <w:footnoteReference w:id="8"/>
      </w:r>
      <w:r w:rsidR="00374967">
        <w:rPr>
          <w:rFonts w:ascii="Century Gothic" w:hAnsi="Century Gothic"/>
        </w:rPr>
        <w:t>.</w:t>
      </w:r>
    </w:p>
    <w:p w14:paraId="68AB3490" w14:textId="77777777" w:rsidR="00572A9F" w:rsidRPr="00AB23AB" w:rsidRDefault="00572A9F" w:rsidP="00B77B26">
      <w:pPr>
        <w:pStyle w:val="NoSpacing"/>
        <w:jc w:val="both"/>
        <w:rPr>
          <w:rFonts w:ascii="Century Gothic" w:hAnsi="Century Gothic"/>
          <w:b/>
        </w:rPr>
      </w:pPr>
    </w:p>
    <w:p w14:paraId="0E0183DB" w14:textId="7462AFEC" w:rsidR="00763D70" w:rsidRDefault="00763D70" w:rsidP="00B77B26">
      <w:pPr>
        <w:pStyle w:val="NoSpacing"/>
        <w:jc w:val="both"/>
        <w:rPr>
          <w:rFonts w:ascii="Century Gothic" w:hAnsi="Century Gothic"/>
        </w:rPr>
      </w:pPr>
      <w:r w:rsidRPr="00AB23AB">
        <w:rPr>
          <w:rFonts w:ascii="Century Gothic" w:hAnsi="Century Gothic"/>
          <w:b/>
        </w:rPr>
        <w:t xml:space="preserve">d)  </w:t>
      </w:r>
      <w:r w:rsidR="00BD73FB" w:rsidRPr="00AB23AB">
        <w:rPr>
          <w:rFonts w:ascii="Century Gothic" w:hAnsi="Century Gothic"/>
          <w:b/>
          <w:u w:val="single"/>
        </w:rPr>
        <w:t>I</w:t>
      </w:r>
      <w:r w:rsidRPr="00AB23AB">
        <w:rPr>
          <w:rFonts w:ascii="Century Gothic" w:hAnsi="Century Gothic"/>
          <w:b/>
          <w:u w:val="single"/>
        </w:rPr>
        <w:t>nternational Accounting Standards Board</w:t>
      </w:r>
      <w:r w:rsidRPr="00AB23AB">
        <w:rPr>
          <w:rFonts w:ascii="Century Gothic" w:hAnsi="Century Gothic"/>
          <w:b/>
        </w:rPr>
        <w:t xml:space="preserve"> </w:t>
      </w:r>
      <w:r w:rsidR="00BD73FB" w:rsidRPr="00AB23AB">
        <w:rPr>
          <w:rFonts w:ascii="Century Gothic" w:hAnsi="Century Gothic"/>
          <w:b/>
        </w:rPr>
        <w:t>(IASB</w:t>
      </w:r>
      <w:r w:rsidR="00BD73FB">
        <w:rPr>
          <w:rFonts w:ascii="Century Gothic" w:hAnsi="Century Gothic"/>
        </w:rPr>
        <w:t>)</w:t>
      </w:r>
      <w:r w:rsidR="00CC7ABC">
        <w:rPr>
          <w:rStyle w:val="FootnoteReference"/>
          <w:rFonts w:ascii="Century Gothic" w:hAnsi="Century Gothic"/>
        </w:rPr>
        <w:footnoteReference w:id="9"/>
      </w:r>
      <w:r w:rsidR="00BD73FB">
        <w:rPr>
          <w:rFonts w:ascii="Century Gothic" w:hAnsi="Century Gothic"/>
        </w:rPr>
        <w:t xml:space="preserve"> </w:t>
      </w:r>
      <w:r>
        <w:rPr>
          <w:rFonts w:ascii="Century Gothic" w:hAnsi="Century Gothic"/>
        </w:rPr>
        <w:t>– Definition of Depreciation</w:t>
      </w:r>
    </w:p>
    <w:p w14:paraId="4979B8F0" w14:textId="5DB8B6A9" w:rsidR="00BD73FB" w:rsidRDefault="00BD73FB" w:rsidP="00B77B26">
      <w:pPr>
        <w:pStyle w:val="NoSpacing"/>
        <w:jc w:val="both"/>
        <w:rPr>
          <w:rFonts w:ascii="Century Gothic" w:hAnsi="Century Gothic"/>
        </w:rPr>
      </w:pPr>
    </w:p>
    <w:p w14:paraId="12446BAE" w14:textId="70CF8553" w:rsidR="00BD73FB" w:rsidRDefault="00BD73FB" w:rsidP="00B77B26">
      <w:pPr>
        <w:pStyle w:val="NoSpacing"/>
        <w:jc w:val="both"/>
        <w:rPr>
          <w:rFonts w:ascii="Century Gothic" w:hAnsi="Century Gothic"/>
        </w:rPr>
      </w:pPr>
      <w:r>
        <w:rPr>
          <w:rFonts w:ascii="Century Gothic" w:hAnsi="Century Gothic"/>
        </w:rPr>
        <w:t xml:space="preserve">Pursuant to IAS 16 (replacing IAS 4), “depreciation is defined as the systemic </w:t>
      </w:r>
      <w:r w:rsidRPr="00E70FC2">
        <w:rPr>
          <w:rFonts w:ascii="Century Gothic" w:hAnsi="Century Gothic"/>
          <w:i/>
        </w:rPr>
        <w:t>allocation</w:t>
      </w:r>
      <w:r w:rsidR="00AA2617">
        <w:rPr>
          <w:rFonts w:ascii="Century Gothic" w:hAnsi="Century Gothic"/>
        </w:rPr>
        <w:t>*</w:t>
      </w:r>
      <w:r>
        <w:rPr>
          <w:rFonts w:ascii="Century Gothic" w:hAnsi="Century Gothic"/>
        </w:rPr>
        <w:t xml:space="preserve"> of the depreciable amount of an asset over its useful life. The standard requires the entity to recognize </w:t>
      </w:r>
      <w:r w:rsidR="00203B1D">
        <w:rPr>
          <w:rFonts w:ascii="Century Gothic" w:hAnsi="Century Gothic"/>
        </w:rPr>
        <w:t>the cost of an asset as depreciation expense over the asset’s useful life, reflecting the wear and tear, age or obsolescence of the asset”.</w:t>
      </w:r>
    </w:p>
    <w:p w14:paraId="403D317E" w14:textId="06A07C2E" w:rsidR="00203B1D" w:rsidRDefault="00203B1D" w:rsidP="00B77B26">
      <w:pPr>
        <w:pStyle w:val="NoSpacing"/>
        <w:jc w:val="both"/>
        <w:rPr>
          <w:rFonts w:ascii="Century Gothic" w:hAnsi="Century Gothic"/>
        </w:rPr>
      </w:pPr>
    </w:p>
    <w:p w14:paraId="55C8962D" w14:textId="1871CB7F" w:rsidR="00203B1D" w:rsidRDefault="00E70FC2" w:rsidP="00B77B26">
      <w:pPr>
        <w:pStyle w:val="NoSpacing"/>
        <w:jc w:val="both"/>
        <w:rPr>
          <w:rFonts w:ascii="Century Gothic" w:hAnsi="Century Gothic"/>
        </w:rPr>
      </w:pPr>
      <w:r>
        <w:rPr>
          <w:rFonts w:ascii="Century Gothic" w:hAnsi="Century Gothic"/>
        </w:rPr>
        <w:t>Likewise</w:t>
      </w:r>
      <w:r w:rsidR="00203B1D">
        <w:rPr>
          <w:rFonts w:ascii="Century Gothic" w:hAnsi="Century Gothic"/>
        </w:rPr>
        <w:t>, the keyword</w:t>
      </w:r>
      <w:r w:rsidR="00880B60">
        <w:rPr>
          <w:rFonts w:ascii="Century Gothic" w:hAnsi="Century Gothic"/>
        </w:rPr>
        <w:t xml:space="preserve"> </w:t>
      </w:r>
      <w:r w:rsidR="00203B1D">
        <w:rPr>
          <w:rFonts w:ascii="Century Gothic" w:hAnsi="Century Gothic"/>
        </w:rPr>
        <w:t>“allocation” is</w:t>
      </w:r>
      <w:r w:rsidR="00573A0F">
        <w:rPr>
          <w:rFonts w:ascii="Century Gothic" w:hAnsi="Century Gothic"/>
        </w:rPr>
        <w:t xml:space="preserve"> </w:t>
      </w:r>
      <w:r w:rsidR="00203B1D">
        <w:rPr>
          <w:rFonts w:ascii="Century Gothic" w:hAnsi="Century Gothic"/>
        </w:rPr>
        <w:t>distin</w:t>
      </w:r>
      <w:r w:rsidR="00B938A8">
        <w:rPr>
          <w:rFonts w:ascii="Century Gothic" w:hAnsi="Century Gothic"/>
        </w:rPr>
        <w:t>c</w:t>
      </w:r>
      <w:r>
        <w:rPr>
          <w:rFonts w:ascii="Century Gothic" w:hAnsi="Century Gothic"/>
        </w:rPr>
        <w:t>tive</w:t>
      </w:r>
      <w:r w:rsidR="00573A0F">
        <w:rPr>
          <w:rFonts w:ascii="Century Gothic" w:hAnsi="Century Gothic"/>
        </w:rPr>
        <w:t xml:space="preserve"> </w:t>
      </w:r>
      <w:r w:rsidR="00203B1D">
        <w:rPr>
          <w:rFonts w:ascii="Century Gothic" w:hAnsi="Century Gothic"/>
        </w:rPr>
        <w:t xml:space="preserve">from </w:t>
      </w:r>
      <w:r w:rsidR="00573A0F">
        <w:rPr>
          <w:rFonts w:ascii="Century Gothic" w:hAnsi="Century Gothic"/>
        </w:rPr>
        <w:t xml:space="preserve">a </w:t>
      </w:r>
      <w:r w:rsidR="00203B1D">
        <w:rPr>
          <w:rFonts w:ascii="Century Gothic" w:hAnsi="Century Gothic"/>
        </w:rPr>
        <w:t>Standing Charge.</w:t>
      </w:r>
    </w:p>
    <w:p w14:paraId="794298B7" w14:textId="0AE99121" w:rsidR="00763D70" w:rsidRDefault="00763D70" w:rsidP="00B77B26">
      <w:pPr>
        <w:pStyle w:val="NoSpacing"/>
        <w:jc w:val="both"/>
        <w:rPr>
          <w:rFonts w:ascii="Century Gothic" w:hAnsi="Century Gothic"/>
        </w:rPr>
      </w:pPr>
    </w:p>
    <w:p w14:paraId="65F186B8" w14:textId="71F420BF" w:rsidR="00837E32" w:rsidRDefault="00AA2617" w:rsidP="00B77B26">
      <w:pPr>
        <w:pStyle w:val="NoSpacing"/>
        <w:jc w:val="both"/>
        <w:rPr>
          <w:rFonts w:ascii="Century Gothic" w:hAnsi="Century Gothic"/>
        </w:rPr>
      </w:pPr>
      <w:r>
        <w:rPr>
          <w:rFonts w:ascii="Century Gothic" w:hAnsi="Century Gothic"/>
        </w:rPr>
        <w:t>*Longman Dictionary of Contemporary English (at page 36) defines “</w:t>
      </w:r>
      <w:r w:rsidRPr="00E70FC2">
        <w:rPr>
          <w:rFonts w:ascii="Century Gothic" w:hAnsi="Century Gothic"/>
          <w:i/>
        </w:rPr>
        <w:t>Allocation</w:t>
      </w:r>
      <w:r>
        <w:rPr>
          <w:rFonts w:ascii="Century Gothic" w:hAnsi="Century Gothic"/>
        </w:rPr>
        <w:t xml:space="preserve">”, noun, 1 [c] ‘the amount or share of something that has been allocated to a person or organization. 2 [U] ‘the decision to allocate something’. </w:t>
      </w:r>
    </w:p>
    <w:p w14:paraId="3D9935C6" w14:textId="39B0C678" w:rsidR="00532BBB" w:rsidRDefault="00532BBB" w:rsidP="00B77B26">
      <w:pPr>
        <w:pStyle w:val="NoSpacing"/>
        <w:jc w:val="both"/>
        <w:rPr>
          <w:rFonts w:ascii="Century Gothic" w:hAnsi="Century Gothic"/>
        </w:rPr>
      </w:pPr>
    </w:p>
    <w:p w14:paraId="4DBAC5C1" w14:textId="28B1CA6B" w:rsidR="00532BBB" w:rsidRDefault="00532BBB" w:rsidP="00B77B26">
      <w:pPr>
        <w:pStyle w:val="NoSpacing"/>
        <w:jc w:val="both"/>
        <w:rPr>
          <w:rFonts w:ascii="Century Gothic" w:hAnsi="Century Gothic"/>
        </w:rPr>
      </w:pPr>
      <w:r>
        <w:rPr>
          <w:rFonts w:ascii="Century Gothic" w:hAnsi="Century Gothic"/>
        </w:rPr>
        <w:t>Oxford Advanced Learner’s Dictionary at page 30 defines “Allocation” as 1. (U) Action of allocating. 2 (C) amount (of money, space etc) allocated.</w:t>
      </w:r>
    </w:p>
    <w:p w14:paraId="4A1F8FB4" w14:textId="37D8BFB6" w:rsidR="00EB5309" w:rsidRDefault="00EB5309" w:rsidP="00B77B26">
      <w:pPr>
        <w:pStyle w:val="NoSpacing"/>
        <w:jc w:val="both"/>
        <w:rPr>
          <w:rFonts w:ascii="Century Gothic" w:hAnsi="Century Gothic"/>
        </w:rPr>
      </w:pPr>
    </w:p>
    <w:p w14:paraId="113F825C" w14:textId="60FCD710" w:rsidR="00EB5309" w:rsidRDefault="00EB5309" w:rsidP="00B77B26">
      <w:pPr>
        <w:pStyle w:val="NoSpacing"/>
        <w:jc w:val="both"/>
        <w:rPr>
          <w:rFonts w:ascii="Century Gothic" w:hAnsi="Century Gothic"/>
        </w:rPr>
      </w:pPr>
      <w:r>
        <w:rPr>
          <w:rFonts w:ascii="Century Gothic" w:hAnsi="Century Gothic"/>
        </w:rPr>
        <w:t>The International Financial Reporting Standards</w:t>
      </w:r>
      <w:r w:rsidR="007D65C6">
        <w:rPr>
          <w:rStyle w:val="FootnoteReference"/>
          <w:rFonts w:ascii="Century Gothic" w:hAnsi="Century Gothic"/>
        </w:rPr>
        <w:footnoteReference w:id="10"/>
      </w:r>
      <w:r>
        <w:rPr>
          <w:rFonts w:ascii="Century Gothic" w:hAnsi="Century Gothic"/>
        </w:rPr>
        <w:t>’ IFRS 17 applies to insurance contracts including reinsurers and other entities</w:t>
      </w:r>
      <w:r w:rsidR="00891DCD">
        <w:rPr>
          <w:rFonts w:ascii="Century Gothic" w:hAnsi="Century Gothic"/>
        </w:rPr>
        <w:t>.</w:t>
      </w:r>
      <w:r w:rsidR="000A5D2A">
        <w:rPr>
          <w:rFonts w:ascii="Century Gothic" w:hAnsi="Century Gothic"/>
        </w:rPr>
        <w:t xml:space="preserve"> </w:t>
      </w:r>
      <w:r w:rsidR="00891DCD">
        <w:rPr>
          <w:rFonts w:ascii="Century Gothic" w:hAnsi="Century Gothic"/>
        </w:rPr>
        <w:t>T</w:t>
      </w:r>
      <w:r w:rsidR="000A5D2A">
        <w:rPr>
          <w:rFonts w:ascii="Century Gothic" w:hAnsi="Century Gothic"/>
        </w:rPr>
        <w:t>he mandatory adoption of IFRS 17 began in 2023, additional rules and amendments came into effect on 1st January 2024.</w:t>
      </w:r>
    </w:p>
    <w:p w14:paraId="5A8ACB13" w14:textId="199D762A" w:rsidR="009B0886" w:rsidRDefault="00837E32" w:rsidP="00B77B26">
      <w:pPr>
        <w:pStyle w:val="NoSpacing"/>
        <w:jc w:val="both"/>
        <w:rPr>
          <w:rFonts w:ascii="Century Gothic" w:hAnsi="Century Gothic"/>
        </w:rPr>
      </w:pPr>
      <w:r>
        <w:rPr>
          <w:rFonts w:ascii="Century Gothic" w:hAnsi="Century Gothic"/>
        </w:rPr>
        <w:t xml:space="preserve"> </w:t>
      </w:r>
    </w:p>
    <w:p w14:paraId="0D7E4A9D" w14:textId="69F1C809" w:rsidR="009B0886" w:rsidRPr="00AB23AB" w:rsidRDefault="00E70FC2" w:rsidP="00B77B26">
      <w:pPr>
        <w:pStyle w:val="NoSpacing"/>
        <w:jc w:val="both"/>
        <w:rPr>
          <w:rFonts w:ascii="Century Gothic" w:hAnsi="Century Gothic"/>
          <w:b/>
          <w:u w:val="single"/>
        </w:rPr>
      </w:pPr>
      <w:r w:rsidRPr="00AB23AB">
        <w:rPr>
          <w:rFonts w:ascii="Century Gothic" w:hAnsi="Century Gothic"/>
          <w:b/>
        </w:rPr>
        <w:t xml:space="preserve">e)  </w:t>
      </w:r>
      <w:r w:rsidR="00BB12A0" w:rsidRPr="00BB12A0">
        <w:rPr>
          <w:rFonts w:ascii="Century Gothic" w:hAnsi="Century Gothic"/>
          <w:b/>
          <w:u w:val="single"/>
        </w:rPr>
        <w:t xml:space="preserve">Malaysian </w:t>
      </w:r>
      <w:r w:rsidR="00531D63" w:rsidRPr="00AB23AB">
        <w:rPr>
          <w:rFonts w:ascii="Century Gothic" w:hAnsi="Century Gothic"/>
          <w:b/>
          <w:u w:val="single"/>
        </w:rPr>
        <w:t xml:space="preserve">Income Tax Act 1967 </w:t>
      </w:r>
      <w:r w:rsidR="00120874" w:rsidRPr="00AB23AB">
        <w:rPr>
          <w:rFonts w:ascii="Century Gothic" w:hAnsi="Century Gothic"/>
          <w:b/>
          <w:u w:val="single"/>
        </w:rPr>
        <w:t xml:space="preserve">(Act 53) </w:t>
      </w:r>
      <w:r w:rsidR="00FE65A5" w:rsidRPr="00AB23AB">
        <w:rPr>
          <w:rFonts w:ascii="Century Gothic" w:hAnsi="Century Gothic"/>
          <w:b/>
          <w:u w:val="single"/>
        </w:rPr>
        <w:t xml:space="preserve">(the Act) </w:t>
      </w:r>
      <w:r w:rsidR="00531D63" w:rsidRPr="00AB23AB">
        <w:rPr>
          <w:rFonts w:ascii="Century Gothic" w:hAnsi="Century Gothic"/>
          <w:b/>
          <w:u w:val="single"/>
        </w:rPr>
        <w:t xml:space="preserve">(as at </w:t>
      </w:r>
      <w:r w:rsidR="00982BDE" w:rsidRPr="00AB23AB">
        <w:rPr>
          <w:rFonts w:ascii="Century Gothic" w:hAnsi="Century Gothic"/>
          <w:b/>
          <w:u w:val="single"/>
        </w:rPr>
        <w:t>29 December</w:t>
      </w:r>
      <w:r w:rsidR="004B472D" w:rsidRPr="00AB23AB">
        <w:rPr>
          <w:rFonts w:ascii="Century Gothic" w:hAnsi="Century Gothic"/>
          <w:b/>
          <w:u w:val="single"/>
        </w:rPr>
        <w:t xml:space="preserve"> 202</w:t>
      </w:r>
      <w:r w:rsidR="00982BDE" w:rsidRPr="00AB23AB">
        <w:rPr>
          <w:rFonts w:ascii="Century Gothic" w:hAnsi="Century Gothic"/>
          <w:b/>
          <w:u w:val="single"/>
        </w:rPr>
        <w:t>3</w:t>
      </w:r>
      <w:r w:rsidR="004B472D" w:rsidRPr="00AB23AB">
        <w:rPr>
          <w:rFonts w:ascii="Century Gothic" w:hAnsi="Century Gothic"/>
          <w:b/>
          <w:u w:val="single"/>
        </w:rPr>
        <w:t>)</w:t>
      </w:r>
      <w:r w:rsidR="00A31511" w:rsidRPr="00AB23AB">
        <w:rPr>
          <w:rStyle w:val="FootnoteReference"/>
          <w:rFonts w:ascii="Century Gothic" w:hAnsi="Century Gothic"/>
          <w:b/>
          <w:u w:val="single"/>
        </w:rPr>
        <w:footnoteReference w:id="11"/>
      </w:r>
    </w:p>
    <w:p w14:paraId="4732DE8C" w14:textId="1A583154" w:rsidR="009B0886" w:rsidRDefault="004B3907" w:rsidP="00B77B26">
      <w:pPr>
        <w:pStyle w:val="NoSpacing"/>
        <w:jc w:val="both"/>
        <w:rPr>
          <w:rFonts w:ascii="Century Gothic" w:hAnsi="Century Gothic"/>
        </w:rPr>
      </w:pPr>
      <w:r w:rsidRPr="004B3907">
        <w:rPr>
          <w:rFonts w:ascii="Century Gothic" w:hAnsi="Century Gothic"/>
        </w:rPr>
        <w:t xml:space="preserve">      (the Act).</w:t>
      </w:r>
      <w:r w:rsidR="00AA0000">
        <w:rPr>
          <w:rFonts w:ascii="Century Gothic" w:hAnsi="Century Gothic"/>
        </w:rPr>
        <w:t xml:space="preserve"> Schedule 3 (Section 42</w:t>
      </w:r>
      <w:r w:rsidR="004916A5">
        <w:rPr>
          <w:rFonts w:ascii="Century Gothic" w:hAnsi="Century Gothic"/>
        </w:rPr>
        <w:t>)</w:t>
      </w:r>
      <w:r w:rsidR="00AA0000">
        <w:rPr>
          <w:rFonts w:ascii="Century Gothic" w:hAnsi="Century Gothic"/>
        </w:rPr>
        <w:t xml:space="preserve"> (at pages 416</w:t>
      </w:r>
      <w:r w:rsidR="00D73572">
        <w:rPr>
          <w:rFonts w:ascii="Century Gothic" w:hAnsi="Century Gothic"/>
        </w:rPr>
        <w:t>-449)</w:t>
      </w:r>
    </w:p>
    <w:p w14:paraId="19850393" w14:textId="7733DE7C" w:rsidR="00532BBB" w:rsidRDefault="004B3907" w:rsidP="00B77B26">
      <w:pPr>
        <w:pStyle w:val="NoSpacing"/>
        <w:jc w:val="both"/>
        <w:rPr>
          <w:rFonts w:ascii="Century Gothic" w:hAnsi="Century Gothic"/>
        </w:rPr>
      </w:pPr>
      <w:r>
        <w:rPr>
          <w:rFonts w:ascii="Century Gothic" w:hAnsi="Century Gothic"/>
        </w:rPr>
        <w:lastRenderedPageBreak/>
        <w:t xml:space="preserve">The word, Depreciation, as is commonly regarded as </w:t>
      </w:r>
      <w:r w:rsidR="00D17FC2">
        <w:rPr>
          <w:rFonts w:ascii="Century Gothic" w:hAnsi="Century Gothic"/>
        </w:rPr>
        <w:t xml:space="preserve">a </w:t>
      </w:r>
      <w:r>
        <w:rPr>
          <w:rFonts w:ascii="Century Gothic" w:hAnsi="Century Gothic"/>
        </w:rPr>
        <w:t>Standing Charge</w:t>
      </w:r>
      <w:r w:rsidR="00D17FC2">
        <w:rPr>
          <w:rFonts w:ascii="Century Gothic" w:hAnsi="Century Gothic"/>
        </w:rPr>
        <w:t>,</w:t>
      </w:r>
      <w:r>
        <w:rPr>
          <w:rFonts w:ascii="Century Gothic" w:hAnsi="Century Gothic"/>
        </w:rPr>
        <w:t xml:space="preserve"> in the insurance policy, does not appear in the Act, but for the lack of interpretation, is </w:t>
      </w:r>
    </w:p>
    <w:p w14:paraId="5C80F9C3" w14:textId="1EE6F0C0" w:rsidR="004B3907" w:rsidRPr="004B3907" w:rsidRDefault="004B3907" w:rsidP="00B77B26">
      <w:pPr>
        <w:pStyle w:val="NoSpacing"/>
        <w:jc w:val="both"/>
        <w:rPr>
          <w:rFonts w:ascii="Century Gothic" w:hAnsi="Century Gothic"/>
        </w:rPr>
      </w:pPr>
      <w:r>
        <w:rPr>
          <w:rFonts w:ascii="Century Gothic" w:hAnsi="Century Gothic"/>
        </w:rPr>
        <w:t>presumably its equivalent conveniently prescribed as Capital Allowance</w:t>
      </w:r>
      <w:r w:rsidR="00DD58AF">
        <w:rPr>
          <w:rFonts w:ascii="Century Gothic" w:hAnsi="Century Gothic"/>
        </w:rPr>
        <w:t xml:space="preserve"> (CA).</w:t>
      </w:r>
    </w:p>
    <w:p w14:paraId="379BFE84" w14:textId="77777777" w:rsidR="00532BBB" w:rsidRDefault="00532BBB" w:rsidP="00081327">
      <w:pPr>
        <w:pStyle w:val="NoSpacing"/>
        <w:jc w:val="both"/>
        <w:rPr>
          <w:rFonts w:ascii="Century Gothic" w:hAnsi="Century Gothic"/>
        </w:rPr>
      </w:pPr>
    </w:p>
    <w:p w14:paraId="2991524A" w14:textId="2E7A1438" w:rsidR="00982BDE" w:rsidRPr="00321BB0" w:rsidRDefault="00982BDE" w:rsidP="00081327">
      <w:pPr>
        <w:pStyle w:val="NoSpacing"/>
        <w:jc w:val="both"/>
        <w:rPr>
          <w:rFonts w:ascii="Century Gothic" w:hAnsi="Century Gothic"/>
          <w:b/>
        </w:rPr>
      </w:pPr>
      <w:r w:rsidRPr="00321BB0">
        <w:rPr>
          <w:rFonts w:ascii="Century Gothic" w:hAnsi="Century Gothic"/>
        </w:rPr>
        <w:t xml:space="preserve">Capital Allowance is </w:t>
      </w:r>
      <w:r w:rsidR="00BA2EF8" w:rsidRPr="00321BB0">
        <w:rPr>
          <w:rFonts w:ascii="Century Gothic" w:hAnsi="Century Gothic"/>
        </w:rPr>
        <w:t>provided for</w:t>
      </w:r>
      <w:r w:rsidRPr="00321BB0">
        <w:rPr>
          <w:rFonts w:ascii="Century Gothic" w:hAnsi="Century Gothic"/>
        </w:rPr>
        <w:t xml:space="preserve"> in Schedule 3 </w:t>
      </w:r>
      <w:r w:rsidR="00FB6735" w:rsidRPr="00321BB0">
        <w:rPr>
          <w:rFonts w:ascii="Century Gothic" w:hAnsi="Century Gothic"/>
        </w:rPr>
        <w:t xml:space="preserve">(Section 42) </w:t>
      </w:r>
      <w:r w:rsidRPr="00321BB0">
        <w:rPr>
          <w:rFonts w:ascii="Century Gothic" w:hAnsi="Century Gothic"/>
        </w:rPr>
        <w:t>of the Act</w:t>
      </w:r>
      <w:r w:rsidR="007A083A" w:rsidRPr="00321BB0">
        <w:rPr>
          <w:rFonts w:ascii="Century Gothic" w:hAnsi="Century Gothic"/>
        </w:rPr>
        <w:t xml:space="preserve"> under the heading of </w:t>
      </w:r>
      <w:r w:rsidRPr="00321BB0">
        <w:rPr>
          <w:rFonts w:ascii="Century Gothic" w:hAnsi="Century Gothic"/>
          <w:b/>
        </w:rPr>
        <w:t>Capital Allowance</w:t>
      </w:r>
      <w:r w:rsidRPr="00321BB0">
        <w:rPr>
          <w:rFonts w:ascii="Century Gothic" w:hAnsi="Century Gothic"/>
        </w:rPr>
        <w:t xml:space="preserve"> </w:t>
      </w:r>
      <w:r w:rsidRPr="00321BB0">
        <w:rPr>
          <w:rFonts w:ascii="Century Gothic" w:hAnsi="Century Gothic"/>
          <w:b/>
        </w:rPr>
        <w:t>and Charges</w:t>
      </w:r>
      <w:r w:rsidR="00FB6735" w:rsidRPr="00321BB0">
        <w:rPr>
          <w:rFonts w:ascii="Century Gothic" w:hAnsi="Century Gothic"/>
          <w:b/>
        </w:rPr>
        <w:t xml:space="preserve"> – Qualifying expenditure.</w:t>
      </w:r>
      <w:r w:rsidR="00321BB0">
        <w:rPr>
          <w:rFonts w:ascii="Century Gothic" w:hAnsi="Century Gothic"/>
          <w:b/>
        </w:rPr>
        <w:t xml:space="preserve"> </w:t>
      </w:r>
      <w:r w:rsidR="00321BB0" w:rsidRPr="00321BB0">
        <w:rPr>
          <w:rFonts w:ascii="Century Gothic" w:hAnsi="Century Gothic"/>
        </w:rPr>
        <w:t>(Emphasis in the original</w:t>
      </w:r>
      <w:r w:rsidR="00321BB0">
        <w:rPr>
          <w:rFonts w:ascii="Century Gothic" w:hAnsi="Century Gothic"/>
          <w:b/>
        </w:rPr>
        <w:t>).</w:t>
      </w:r>
    </w:p>
    <w:p w14:paraId="066FB601" w14:textId="06A5E81C" w:rsidR="00DF1BFB" w:rsidRDefault="00DF1BFB" w:rsidP="00081327">
      <w:pPr>
        <w:pStyle w:val="NoSpacing"/>
        <w:jc w:val="both"/>
        <w:rPr>
          <w:rFonts w:ascii="Century Gothic" w:hAnsi="Century Gothic"/>
        </w:rPr>
      </w:pPr>
    </w:p>
    <w:p w14:paraId="36ABB76B" w14:textId="571D5F9E" w:rsidR="002E00D3" w:rsidRDefault="00DF1BFB" w:rsidP="00081327">
      <w:pPr>
        <w:pStyle w:val="NoSpacing"/>
        <w:jc w:val="both"/>
        <w:rPr>
          <w:rFonts w:ascii="Century Gothic" w:hAnsi="Century Gothic"/>
        </w:rPr>
      </w:pPr>
      <w:r w:rsidRPr="00797B0D">
        <w:rPr>
          <w:rFonts w:ascii="Century Gothic" w:hAnsi="Century Gothic"/>
        </w:rPr>
        <w:t>That said, Capital Allowance is</w:t>
      </w:r>
      <w:r w:rsidR="007C3B79" w:rsidRPr="00797B0D">
        <w:rPr>
          <w:rFonts w:ascii="Century Gothic" w:hAnsi="Century Gothic"/>
        </w:rPr>
        <w:t xml:space="preserve"> similarly not </w:t>
      </w:r>
      <w:r w:rsidRPr="00797B0D">
        <w:rPr>
          <w:rFonts w:ascii="Century Gothic" w:hAnsi="Century Gothic"/>
        </w:rPr>
        <w:t xml:space="preserve">defined under Section 2 – Interpretation, of the </w:t>
      </w:r>
      <w:r w:rsidR="00CA5F05" w:rsidRPr="00797B0D">
        <w:rPr>
          <w:rFonts w:ascii="Century Gothic" w:hAnsi="Century Gothic"/>
        </w:rPr>
        <w:t>Act</w:t>
      </w:r>
      <w:r w:rsidR="00432C8C" w:rsidRPr="00797B0D">
        <w:rPr>
          <w:rFonts w:ascii="Century Gothic" w:hAnsi="Century Gothic"/>
        </w:rPr>
        <w:t>.</w:t>
      </w:r>
      <w:r w:rsidR="00432C8C">
        <w:rPr>
          <w:rFonts w:ascii="Century Gothic" w:hAnsi="Century Gothic"/>
        </w:rPr>
        <w:t xml:space="preserve"> </w:t>
      </w:r>
    </w:p>
    <w:p w14:paraId="7B0B962E" w14:textId="77777777" w:rsidR="002E00D3" w:rsidRDefault="002E00D3" w:rsidP="00081327">
      <w:pPr>
        <w:pStyle w:val="NoSpacing"/>
        <w:jc w:val="both"/>
        <w:rPr>
          <w:rFonts w:ascii="Century Gothic" w:hAnsi="Century Gothic"/>
          <w:highlight w:val="yellow"/>
        </w:rPr>
      </w:pPr>
    </w:p>
    <w:p w14:paraId="25C61FF0" w14:textId="0397A289" w:rsidR="00DF1BFB" w:rsidRDefault="00432C8C" w:rsidP="00081327">
      <w:pPr>
        <w:pStyle w:val="NoSpacing"/>
        <w:jc w:val="both"/>
        <w:rPr>
          <w:rFonts w:ascii="Century Gothic" w:hAnsi="Century Gothic"/>
        </w:rPr>
      </w:pPr>
      <w:r w:rsidRPr="00797B0D">
        <w:rPr>
          <w:rFonts w:ascii="Century Gothic" w:hAnsi="Century Gothic"/>
        </w:rPr>
        <w:t xml:space="preserve">Moving on, </w:t>
      </w:r>
      <w:r w:rsidR="007A083A" w:rsidRPr="00797B0D">
        <w:rPr>
          <w:rFonts w:ascii="Century Gothic" w:hAnsi="Century Gothic"/>
        </w:rPr>
        <w:t xml:space="preserve">hypothetically speaking, </w:t>
      </w:r>
      <w:r w:rsidRPr="00797B0D">
        <w:rPr>
          <w:rFonts w:ascii="Century Gothic" w:hAnsi="Century Gothic"/>
        </w:rPr>
        <w:t>where there is a dispute in the matter of Depreciation and Capital Allowance, there would appear to be a lacuna in the statute</w:t>
      </w:r>
      <w:r w:rsidR="00573A0F">
        <w:rPr>
          <w:rFonts w:ascii="Century Gothic" w:hAnsi="Century Gothic"/>
        </w:rPr>
        <w:t xml:space="preserve"> for want of definition </w:t>
      </w:r>
      <w:r w:rsidR="002E00D3" w:rsidRPr="00797B0D">
        <w:rPr>
          <w:rFonts w:ascii="Century Gothic" w:hAnsi="Century Gothic"/>
        </w:rPr>
        <w:t xml:space="preserve">and </w:t>
      </w:r>
      <w:r w:rsidR="007A083A" w:rsidRPr="00797B0D">
        <w:rPr>
          <w:rFonts w:ascii="Century Gothic" w:hAnsi="Century Gothic"/>
        </w:rPr>
        <w:t>based on th</w:t>
      </w:r>
      <w:r w:rsidR="004B3907">
        <w:rPr>
          <w:rFonts w:ascii="Century Gothic" w:hAnsi="Century Gothic"/>
        </w:rPr>
        <w:t>e</w:t>
      </w:r>
      <w:r w:rsidR="007A083A" w:rsidRPr="00797B0D">
        <w:rPr>
          <w:rFonts w:ascii="Century Gothic" w:hAnsi="Century Gothic"/>
        </w:rPr>
        <w:t xml:space="preserve"> case</w:t>
      </w:r>
      <w:r w:rsidR="004B3907">
        <w:rPr>
          <w:rFonts w:ascii="Century Gothic" w:hAnsi="Century Gothic"/>
        </w:rPr>
        <w:t xml:space="preserve"> of </w:t>
      </w:r>
      <w:r w:rsidR="004B3907" w:rsidRPr="00A20207">
        <w:rPr>
          <w:rFonts w:ascii="Century Gothic" w:hAnsi="Century Gothic"/>
          <w:i/>
        </w:rPr>
        <w:t xml:space="preserve">NV </w:t>
      </w:r>
      <w:r w:rsidR="00E22C43" w:rsidRPr="00A20207">
        <w:rPr>
          <w:rFonts w:ascii="Century Gothic" w:hAnsi="Century Gothic"/>
          <w:i/>
        </w:rPr>
        <w:t>Alliance Sd</w:t>
      </w:r>
      <w:r w:rsidR="0076611B" w:rsidRPr="00A20207">
        <w:rPr>
          <w:rFonts w:ascii="Century Gothic" w:hAnsi="Century Gothic"/>
          <w:i/>
        </w:rPr>
        <w:t>n</w:t>
      </w:r>
      <w:r w:rsidR="00E22C43" w:rsidRPr="00A20207">
        <w:rPr>
          <w:rFonts w:ascii="Century Gothic" w:hAnsi="Century Gothic"/>
          <w:i/>
        </w:rPr>
        <w:t xml:space="preserve"> Bh</w:t>
      </w:r>
      <w:r w:rsidR="0076611B" w:rsidRPr="00A20207">
        <w:rPr>
          <w:rFonts w:ascii="Century Gothic" w:hAnsi="Century Gothic"/>
          <w:i/>
        </w:rPr>
        <w:t>d</w:t>
      </w:r>
      <w:r w:rsidR="00E22C43" w:rsidRPr="00A20207">
        <w:rPr>
          <w:rFonts w:ascii="Century Gothic" w:hAnsi="Century Gothic"/>
          <w:i/>
        </w:rPr>
        <w:t xml:space="preserve"> v Director</w:t>
      </w:r>
      <w:r w:rsidR="00E22C43">
        <w:rPr>
          <w:rFonts w:ascii="Century Gothic" w:hAnsi="Century Gothic"/>
        </w:rPr>
        <w:t xml:space="preserve"> </w:t>
      </w:r>
      <w:r w:rsidR="00E22C43" w:rsidRPr="00A20207">
        <w:rPr>
          <w:rFonts w:ascii="Century Gothic" w:hAnsi="Century Gothic"/>
          <w:i/>
        </w:rPr>
        <w:t>General of the Inland Revenue Board</w:t>
      </w:r>
      <w:r w:rsidR="00E22C43">
        <w:rPr>
          <w:rStyle w:val="FootnoteReference"/>
          <w:rFonts w:ascii="Century Gothic" w:hAnsi="Century Gothic"/>
        </w:rPr>
        <w:footnoteReference w:id="12"/>
      </w:r>
      <w:r w:rsidR="007A083A" w:rsidRPr="00797B0D">
        <w:rPr>
          <w:rFonts w:ascii="Century Gothic" w:hAnsi="Century Gothic"/>
        </w:rPr>
        <w:t xml:space="preserve">, </w:t>
      </w:r>
      <w:r w:rsidR="002E00D3" w:rsidRPr="00797B0D">
        <w:rPr>
          <w:rFonts w:ascii="Century Gothic" w:hAnsi="Century Gothic"/>
        </w:rPr>
        <w:t>the ejusdem generis rule</w:t>
      </w:r>
      <w:r w:rsidR="003C3C06">
        <w:rPr>
          <w:rStyle w:val="FootnoteReference"/>
          <w:rFonts w:ascii="Century Gothic" w:hAnsi="Century Gothic"/>
        </w:rPr>
        <w:footnoteReference w:id="13"/>
      </w:r>
      <w:r w:rsidR="007A083A" w:rsidRPr="00797B0D">
        <w:rPr>
          <w:rFonts w:ascii="Century Gothic" w:hAnsi="Century Gothic"/>
        </w:rPr>
        <w:t xml:space="preserve"> would apply</w:t>
      </w:r>
      <w:r w:rsidR="002E00D3" w:rsidRPr="00797B0D">
        <w:rPr>
          <w:rFonts w:ascii="Century Gothic" w:hAnsi="Century Gothic"/>
        </w:rPr>
        <w:t>.</w:t>
      </w:r>
    </w:p>
    <w:p w14:paraId="030F6252" w14:textId="77777777" w:rsidR="00797B0D" w:rsidRDefault="00797B0D" w:rsidP="00081327">
      <w:pPr>
        <w:pStyle w:val="NoSpacing"/>
        <w:jc w:val="both"/>
        <w:rPr>
          <w:rFonts w:ascii="Century Gothic" w:hAnsi="Century Gothic"/>
          <w:color w:val="0000CC"/>
        </w:rPr>
      </w:pPr>
    </w:p>
    <w:p w14:paraId="2B85487D" w14:textId="503CB700" w:rsidR="004B472D" w:rsidRPr="00321BB0" w:rsidRDefault="00120874" w:rsidP="00081327">
      <w:pPr>
        <w:pStyle w:val="NoSpacing"/>
        <w:jc w:val="both"/>
        <w:rPr>
          <w:rFonts w:ascii="Century Gothic" w:hAnsi="Century Gothic"/>
        </w:rPr>
      </w:pPr>
      <w:r w:rsidRPr="00321BB0">
        <w:rPr>
          <w:rFonts w:ascii="Century Gothic" w:hAnsi="Century Gothic"/>
        </w:rPr>
        <w:t>Briefly</w:t>
      </w:r>
      <w:r w:rsidR="004B472D" w:rsidRPr="00321BB0">
        <w:rPr>
          <w:rFonts w:ascii="Century Gothic" w:hAnsi="Century Gothic"/>
        </w:rPr>
        <w:t xml:space="preserve">, </w:t>
      </w:r>
      <w:r w:rsidR="00432C8C" w:rsidRPr="00321BB0">
        <w:rPr>
          <w:rFonts w:ascii="Century Gothic" w:hAnsi="Century Gothic"/>
        </w:rPr>
        <w:t>D</w:t>
      </w:r>
      <w:r w:rsidR="004B472D" w:rsidRPr="00321BB0">
        <w:rPr>
          <w:rFonts w:ascii="Century Gothic" w:hAnsi="Century Gothic"/>
        </w:rPr>
        <w:t>epreciation is no</w:t>
      </w:r>
      <w:r w:rsidR="00DD4234" w:rsidRPr="00321BB0">
        <w:rPr>
          <w:rFonts w:ascii="Century Gothic" w:hAnsi="Century Gothic"/>
        </w:rPr>
        <w:t>t</w:t>
      </w:r>
      <w:r w:rsidR="004B472D" w:rsidRPr="00321BB0">
        <w:rPr>
          <w:rFonts w:ascii="Century Gothic" w:hAnsi="Century Gothic"/>
        </w:rPr>
        <w:t xml:space="preserve"> </w:t>
      </w:r>
      <w:r w:rsidRPr="00321BB0">
        <w:rPr>
          <w:rFonts w:ascii="Century Gothic" w:hAnsi="Century Gothic"/>
        </w:rPr>
        <w:t>recognized as a deductible expense</w:t>
      </w:r>
      <w:r w:rsidR="00B33E86">
        <w:rPr>
          <w:rStyle w:val="FootnoteReference"/>
          <w:rFonts w:ascii="Century Gothic" w:hAnsi="Century Gothic"/>
        </w:rPr>
        <w:footnoteReference w:id="14"/>
      </w:r>
      <w:r w:rsidR="00DD4234" w:rsidRPr="00321BB0">
        <w:rPr>
          <w:rFonts w:ascii="Century Gothic" w:hAnsi="Century Gothic"/>
        </w:rPr>
        <w:t xml:space="preserve"> </w:t>
      </w:r>
      <w:r w:rsidR="00DE4BA1" w:rsidRPr="00321BB0">
        <w:rPr>
          <w:rFonts w:ascii="Century Gothic" w:hAnsi="Century Gothic"/>
        </w:rPr>
        <w:t xml:space="preserve">for tax purposes </w:t>
      </w:r>
      <w:r w:rsidR="00DD4234" w:rsidRPr="00321BB0">
        <w:rPr>
          <w:rFonts w:ascii="Century Gothic" w:hAnsi="Century Gothic"/>
        </w:rPr>
        <w:t>but o</w:t>
      </w:r>
      <w:r w:rsidRPr="00321BB0">
        <w:rPr>
          <w:rFonts w:ascii="Century Gothic" w:hAnsi="Century Gothic"/>
        </w:rPr>
        <w:t xml:space="preserve">n the </w:t>
      </w:r>
      <w:r w:rsidR="00DD4234" w:rsidRPr="00321BB0">
        <w:rPr>
          <w:rFonts w:ascii="Century Gothic" w:hAnsi="Century Gothic"/>
        </w:rPr>
        <w:t>other hand</w:t>
      </w:r>
      <w:r w:rsidRPr="00321BB0">
        <w:rPr>
          <w:rFonts w:ascii="Century Gothic" w:hAnsi="Century Gothic"/>
        </w:rPr>
        <w:t>, the</w:t>
      </w:r>
      <w:r w:rsidR="00CA5F05" w:rsidRPr="00321BB0">
        <w:rPr>
          <w:rFonts w:ascii="Century Gothic" w:hAnsi="Century Gothic"/>
        </w:rPr>
        <w:t xml:space="preserve"> entity</w:t>
      </w:r>
      <w:r w:rsidR="00DD4234" w:rsidRPr="00321BB0">
        <w:rPr>
          <w:rFonts w:ascii="Century Gothic" w:hAnsi="Century Gothic"/>
        </w:rPr>
        <w:t xml:space="preserve"> may</w:t>
      </w:r>
      <w:r w:rsidRPr="00321BB0">
        <w:rPr>
          <w:rFonts w:ascii="Century Gothic" w:hAnsi="Century Gothic"/>
        </w:rPr>
        <w:t xml:space="preserve"> compute </w:t>
      </w:r>
      <w:r w:rsidR="00DD4234" w:rsidRPr="00321BB0">
        <w:rPr>
          <w:rFonts w:ascii="Century Gothic" w:hAnsi="Century Gothic"/>
        </w:rPr>
        <w:t xml:space="preserve">a similar </w:t>
      </w:r>
      <w:r w:rsidRPr="00321BB0">
        <w:rPr>
          <w:rFonts w:ascii="Century Gothic" w:hAnsi="Century Gothic"/>
        </w:rPr>
        <w:t xml:space="preserve">tax </w:t>
      </w:r>
      <w:r w:rsidR="00DD4234" w:rsidRPr="00321BB0">
        <w:rPr>
          <w:rFonts w:ascii="Century Gothic" w:hAnsi="Century Gothic"/>
        </w:rPr>
        <w:t>deduction</w:t>
      </w:r>
      <w:r w:rsidRPr="00321BB0">
        <w:rPr>
          <w:rFonts w:ascii="Century Gothic" w:hAnsi="Century Gothic"/>
        </w:rPr>
        <w:t xml:space="preserve"> known as</w:t>
      </w:r>
      <w:r w:rsidR="00261464" w:rsidRPr="00321BB0">
        <w:rPr>
          <w:rFonts w:ascii="Century Gothic" w:hAnsi="Century Gothic"/>
        </w:rPr>
        <w:t xml:space="preserve"> </w:t>
      </w:r>
      <w:r w:rsidRPr="00321BB0">
        <w:rPr>
          <w:rFonts w:ascii="Century Gothic" w:hAnsi="Century Gothic"/>
        </w:rPr>
        <w:t>“</w:t>
      </w:r>
      <w:r w:rsidR="00456292" w:rsidRPr="00321BB0">
        <w:rPr>
          <w:rFonts w:ascii="Century Gothic" w:hAnsi="Century Gothic"/>
        </w:rPr>
        <w:t>C</w:t>
      </w:r>
      <w:r w:rsidRPr="00321BB0">
        <w:rPr>
          <w:rFonts w:ascii="Century Gothic" w:hAnsi="Century Gothic"/>
        </w:rPr>
        <w:t xml:space="preserve">apital </w:t>
      </w:r>
      <w:r w:rsidR="00456292" w:rsidRPr="00321BB0">
        <w:rPr>
          <w:rFonts w:ascii="Century Gothic" w:hAnsi="Century Gothic"/>
        </w:rPr>
        <w:t>A</w:t>
      </w:r>
      <w:r w:rsidRPr="00321BB0">
        <w:rPr>
          <w:rFonts w:ascii="Century Gothic" w:hAnsi="Century Gothic"/>
        </w:rPr>
        <w:t>llowance”</w:t>
      </w:r>
      <w:r w:rsidR="00261464" w:rsidRPr="00321BB0">
        <w:rPr>
          <w:rFonts w:ascii="Century Gothic" w:hAnsi="Century Gothic"/>
        </w:rPr>
        <w:t xml:space="preserve"> </w:t>
      </w:r>
      <w:r w:rsidRPr="00321BB0">
        <w:rPr>
          <w:rFonts w:ascii="Century Gothic" w:hAnsi="Century Gothic"/>
        </w:rPr>
        <w:t xml:space="preserve">in line with the provisions of the </w:t>
      </w:r>
      <w:r w:rsidR="00FB6735" w:rsidRPr="00321BB0">
        <w:rPr>
          <w:rFonts w:ascii="Century Gothic" w:hAnsi="Century Gothic"/>
        </w:rPr>
        <w:t>Act</w:t>
      </w:r>
      <w:r w:rsidR="00261464" w:rsidRPr="00321BB0">
        <w:rPr>
          <w:rFonts w:ascii="Century Gothic" w:hAnsi="Century Gothic"/>
        </w:rPr>
        <w:t>.</w:t>
      </w:r>
    </w:p>
    <w:p w14:paraId="5003A73C" w14:textId="373386E8" w:rsidR="00432C8C" w:rsidRPr="00321BB0" w:rsidRDefault="00432C8C" w:rsidP="00081327">
      <w:pPr>
        <w:pStyle w:val="NoSpacing"/>
        <w:jc w:val="both"/>
        <w:rPr>
          <w:rFonts w:ascii="Century Gothic" w:hAnsi="Century Gothic"/>
        </w:rPr>
      </w:pPr>
    </w:p>
    <w:p w14:paraId="4ECB5184" w14:textId="02C34F24" w:rsidR="00432C8C" w:rsidRPr="00321BB0" w:rsidRDefault="00432C8C" w:rsidP="00081327">
      <w:pPr>
        <w:pStyle w:val="NoSpacing"/>
        <w:jc w:val="both"/>
        <w:rPr>
          <w:rFonts w:ascii="Century Gothic" w:hAnsi="Century Gothic"/>
        </w:rPr>
      </w:pPr>
      <w:r w:rsidRPr="00321BB0">
        <w:rPr>
          <w:rFonts w:ascii="Century Gothic" w:hAnsi="Century Gothic"/>
        </w:rPr>
        <w:t>On the premise that Depreciation is no longer regarded as a deductible expense, this would have an adverse impact on the B</w:t>
      </w:r>
      <w:r w:rsidR="000943ED" w:rsidRPr="00321BB0">
        <w:rPr>
          <w:rFonts w:ascii="Century Gothic" w:hAnsi="Century Gothic"/>
        </w:rPr>
        <w:t xml:space="preserve">usiness Interruption insurance </w:t>
      </w:r>
      <w:r w:rsidRPr="00321BB0">
        <w:rPr>
          <w:rFonts w:ascii="Century Gothic" w:hAnsi="Century Gothic"/>
        </w:rPr>
        <w:t xml:space="preserve">practice, in particular, the working </w:t>
      </w:r>
      <w:r w:rsidR="00FB6735" w:rsidRPr="00321BB0">
        <w:rPr>
          <w:rFonts w:ascii="Century Gothic" w:hAnsi="Century Gothic"/>
        </w:rPr>
        <w:t xml:space="preserve">process of the Difference Basis </w:t>
      </w:r>
      <w:r w:rsidRPr="00321BB0">
        <w:rPr>
          <w:rFonts w:ascii="Century Gothic" w:hAnsi="Century Gothic"/>
        </w:rPr>
        <w:t>of the Gross Profit</w:t>
      </w:r>
      <w:r w:rsidR="003C75AA">
        <w:rPr>
          <w:rStyle w:val="FootnoteReference"/>
          <w:rFonts w:ascii="Century Gothic" w:hAnsi="Century Gothic"/>
        </w:rPr>
        <w:footnoteReference w:id="15"/>
      </w:r>
      <w:r w:rsidRPr="00321BB0">
        <w:rPr>
          <w:rFonts w:ascii="Century Gothic" w:hAnsi="Century Gothic"/>
        </w:rPr>
        <w:t>, for insurance underwriting and claims purposes.</w:t>
      </w:r>
    </w:p>
    <w:p w14:paraId="381158B1" w14:textId="77777777" w:rsidR="00A27AF6" w:rsidRPr="00321BB0" w:rsidRDefault="00A27AF6" w:rsidP="00081327">
      <w:pPr>
        <w:pStyle w:val="NoSpacing"/>
        <w:jc w:val="both"/>
        <w:rPr>
          <w:rFonts w:ascii="Century Gothic" w:hAnsi="Century Gothic"/>
        </w:rPr>
      </w:pPr>
    </w:p>
    <w:p w14:paraId="1A33A2A3" w14:textId="77777777" w:rsidR="00E10731" w:rsidRPr="00321BB0" w:rsidRDefault="00E10731" w:rsidP="00081327">
      <w:pPr>
        <w:pStyle w:val="NoSpacing"/>
        <w:jc w:val="both"/>
        <w:rPr>
          <w:rFonts w:ascii="Century Gothic" w:hAnsi="Century Gothic"/>
        </w:rPr>
      </w:pPr>
      <w:r w:rsidRPr="00321BB0">
        <w:rPr>
          <w:rFonts w:ascii="Century Gothic" w:hAnsi="Century Gothic"/>
        </w:rPr>
        <w:t>Capital Allowance is computed under appropriate rates as Initial Allowance and Annual Allowance.</w:t>
      </w:r>
    </w:p>
    <w:p w14:paraId="4B370E7D" w14:textId="0C8453F3" w:rsidR="00E10731" w:rsidRPr="00321BB0" w:rsidRDefault="00E10731" w:rsidP="00081327">
      <w:pPr>
        <w:pStyle w:val="NoSpacing"/>
        <w:jc w:val="both"/>
        <w:rPr>
          <w:rFonts w:ascii="Century Gothic" w:hAnsi="Century Gothic"/>
        </w:rPr>
      </w:pPr>
    </w:p>
    <w:p w14:paraId="4B9535FE" w14:textId="5548E612" w:rsidR="00A27AF6" w:rsidRPr="00321BB0" w:rsidRDefault="00A27AF6" w:rsidP="00081327">
      <w:pPr>
        <w:pStyle w:val="NoSpacing"/>
        <w:jc w:val="both"/>
        <w:rPr>
          <w:rFonts w:ascii="Century Gothic" w:hAnsi="Century Gothic"/>
        </w:rPr>
      </w:pPr>
      <w:r w:rsidRPr="00321BB0">
        <w:rPr>
          <w:rFonts w:ascii="Century Gothic" w:hAnsi="Century Gothic"/>
        </w:rPr>
        <w:t>For the sake of easy understanding</w:t>
      </w:r>
      <w:r w:rsidR="00FE65A5" w:rsidRPr="00321BB0">
        <w:rPr>
          <w:rFonts w:ascii="Century Gothic" w:hAnsi="Century Gothic"/>
        </w:rPr>
        <w:t xml:space="preserve">, </w:t>
      </w:r>
      <w:r w:rsidR="00201E21">
        <w:rPr>
          <w:rFonts w:ascii="Century Gothic" w:hAnsi="Century Gothic"/>
        </w:rPr>
        <w:t>four</w:t>
      </w:r>
      <w:r w:rsidRPr="00321BB0">
        <w:rPr>
          <w:rFonts w:ascii="Century Gothic" w:hAnsi="Century Gothic"/>
        </w:rPr>
        <w:t xml:space="preserve"> </w:t>
      </w:r>
      <w:r w:rsidR="00FE65A5" w:rsidRPr="00321BB0">
        <w:rPr>
          <w:rFonts w:ascii="Century Gothic" w:hAnsi="Century Gothic"/>
        </w:rPr>
        <w:t xml:space="preserve">simplified </w:t>
      </w:r>
      <w:r w:rsidRPr="00321BB0">
        <w:rPr>
          <w:rFonts w:ascii="Century Gothic" w:hAnsi="Century Gothic"/>
        </w:rPr>
        <w:t xml:space="preserve">Illustrations </w:t>
      </w:r>
      <w:r w:rsidR="00FE65A5" w:rsidRPr="00321BB0">
        <w:rPr>
          <w:rFonts w:ascii="Century Gothic" w:hAnsi="Century Gothic"/>
        </w:rPr>
        <w:t>are shown below:</w:t>
      </w:r>
    </w:p>
    <w:p w14:paraId="3A20D744" w14:textId="77777777" w:rsidR="00FE65A5" w:rsidRPr="00321BB0" w:rsidRDefault="00FE65A5" w:rsidP="00081327">
      <w:pPr>
        <w:pStyle w:val="NoSpacing"/>
        <w:jc w:val="both"/>
        <w:rPr>
          <w:rFonts w:ascii="Century Gothic" w:hAnsi="Century Gothic"/>
        </w:rPr>
      </w:pPr>
    </w:p>
    <w:p w14:paraId="5FEF47D7" w14:textId="33C023F0" w:rsidR="00DE4BA1" w:rsidRPr="00321BB0" w:rsidRDefault="00DE4BA1" w:rsidP="00081327">
      <w:pPr>
        <w:pStyle w:val="NoSpacing"/>
        <w:jc w:val="both"/>
        <w:rPr>
          <w:rFonts w:ascii="Century Gothic" w:hAnsi="Century Gothic"/>
          <w:b/>
          <w:bCs/>
          <w:u w:val="single"/>
        </w:rPr>
      </w:pPr>
      <w:r w:rsidRPr="00321BB0">
        <w:rPr>
          <w:rFonts w:ascii="Century Gothic" w:hAnsi="Century Gothic"/>
          <w:b/>
          <w:bCs/>
          <w:u w:val="single"/>
        </w:rPr>
        <w:t>Illustration 1:</w:t>
      </w:r>
    </w:p>
    <w:p w14:paraId="4B005075" w14:textId="77777777" w:rsidR="00DE4BA1" w:rsidRPr="00321BB0" w:rsidRDefault="00DE4BA1" w:rsidP="00081327">
      <w:pPr>
        <w:pStyle w:val="NoSpacing"/>
        <w:jc w:val="both"/>
        <w:rPr>
          <w:rFonts w:ascii="Century Gothic" w:hAnsi="Century Gothic"/>
        </w:rPr>
      </w:pPr>
    </w:p>
    <w:p w14:paraId="455A9303" w14:textId="1733D4FA" w:rsidR="00DE4BA1" w:rsidRPr="00321BB0" w:rsidRDefault="00DE4BA1" w:rsidP="00081327">
      <w:pPr>
        <w:pStyle w:val="NoSpacing"/>
        <w:jc w:val="both"/>
        <w:rPr>
          <w:rFonts w:ascii="Century Gothic" w:hAnsi="Century Gothic"/>
        </w:rPr>
      </w:pPr>
      <w:r w:rsidRPr="00321BB0">
        <w:rPr>
          <w:rFonts w:ascii="Century Gothic" w:hAnsi="Century Gothic"/>
        </w:rPr>
        <w:t>Qualifying Expenditure on Plant &amp; Machinery</w:t>
      </w:r>
      <w:r w:rsidRPr="00321BB0">
        <w:rPr>
          <w:rFonts w:ascii="Century Gothic" w:hAnsi="Century Gothic"/>
        </w:rPr>
        <w:tab/>
      </w:r>
      <w:r w:rsidR="002D6B08">
        <w:rPr>
          <w:rFonts w:ascii="Century Gothic" w:hAnsi="Century Gothic"/>
        </w:rPr>
        <w:t xml:space="preserve">           </w:t>
      </w:r>
      <w:r w:rsidRPr="00321BB0">
        <w:rPr>
          <w:rFonts w:ascii="Century Gothic" w:hAnsi="Century Gothic"/>
        </w:rPr>
        <w:t xml:space="preserve"> </w:t>
      </w:r>
      <w:r w:rsidR="002D6B08">
        <w:rPr>
          <w:rFonts w:ascii="Century Gothic" w:hAnsi="Century Gothic"/>
        </w:rPr>
        <w:t>$</w:t>
      </w:r>
      <w:r w:rsidRPr="00321BB0">
        <w:rPr>
          <w:rFonts w:ascii="Century Gothic" w:hAnsi="Century Gothic"/>
        </w:rPr>
        <w:t>140,000</w:t>
      </w:r>
    </w:p>
    <w:p w14:paraId="61A0BADA" w14:textId="77777777" w:rsidR="00DE4BA1" w:rsidRPr="00321BB0" w:rsidRDefault="00DE4BA1" w:rsidP="00081327">
      <w:pPr>
        <w:pStyle w:val="NoSpacing"/>
        <w:jc w:val="both"/>
        <w:rPr>
          <w:rFonts w:ascii="Century Gothic" w:hAnsi="Century Gothic"/>
        </w:rPr>
      </w:pPr>
    </w:p>
    <w:p w14:paraId="53B3FC1D" w14:textId="62F9DE5F" w:rsidR="00DE4BA1" w:rsidRPr="00321BB0" w:rsidRDefault="00DE4BA1" w:rsidP="00081327">
      <w:pPr>
        <w:pStyle w:val="NoSpacing"/>
        <w:jc w:val="both"/>
        <w:rPr>
          <w:rFonts w:ascii="Century Gothic" w:hAnsi="Century Gothic"/>
        </w:rPr>
      </w:pPr>
      <w:r w:rsidRPr="00321BB0">
        <w:rPr>
          <w:rFonts w:ascii="Century Gothic" w:hAnsi="Century Gothic"/>
        </w:rPr>
        <w:t>Capital Allowance –</w:t>
      </w:r>
    </w:p>
    <w:p w14:paraId="19466754" w14:textId="1BED9782" w:rsidR="00DE4BA1" w:rsidRPr="00321BB0" w:rsidRDefault="00DE4BA1" w:rsidP="00081327">
      <w:pPr>
        <w:pStyle w:val="NoSpacing"/>
        <w:jc w:val="both"/>
        <w:rPr>
          <w:rFonts w:ascii="Century Gothic" w:hAnsi="Century Gothic"/>
        </w:rPr>
      </w:pPr>
      <w:r w:rsidRPr="00321BB0">
        <w:rPr>
          <w:rFonts w:ascii="Century Gothic" w:hAnsi="Century Gothic"/>
        </w:rPr>
        <w:tab/>
      </w:r>
      <w:r w:rsidRPr="00321BB0">
        <w:rPr>
          <w:rFonts w:ascii="Century Gothic" w:hAnsi="Century Gothic"/>
        </w:rPr>
        <w:tab/>
      </w:r>
      <w:r w:rsidRPr="00321BB0">
        <w:rPr>
          <w:rFonts w:ascii="Century Gothic" w:hAnsi="Century Gothic"/>
        </w:rPr>
        <w:tab/>
      </w:r>
      <w:r w:rsidRPr="00321BB0">
        <w:rPr>
          <w:rFonts w:ascii="Century Gothic" w:hAnsi="Century Gothic"/>
        </w:rPr>
        <w:tab/>
        <w:t>Initial</w:t>
      </w:r>
      <w:r w:rsidRPr="00321BB0">
        <w:rPr>
          <w:rFonts w:ascii="Century Gothic" w:hAnsi="Century Gothic"/>
        </w:rPr>
        <w:tab/>
      </w:r>
      <w:r w:rsidRPr="00321BB0">
        <w:rPr>
          <w:rFonts w:ascii="Century Gothic" w:hAnsi="Century Gothic"/>
        </w:rPr>
        <w:tab/>
        <w:t>28,000</w:t>
      </w:r>
    </w:p>
    <w:p w14:paraId="3FA8527A" w14:textId="63974443" w:rsidR="00DE4BA1" w:rsidRPr="00321BB0" w:rsidRDefault="00DE4BA1" w:rsidP="00081327">
      <w:pPr>
        <w:pStyle w:val="NoSpacing"/>
        <w:jc w:val="both"/>
        <w:rPr>
          <w:rFonts w:ascii="Century Gothic" w:hAnsi="Century Gothic"/>
        </w:rPr>
      </w:pPr>
      <w:r w:rsidRPr="00321BB0">
        <w:rPr>
          <w:rFonts w:ascii="Century Gothic" w:hAnsi="Century Gothic"/>
        </w:rPr>
        <w:tab/>
      </w:r>
      <w:r w:rsidRPr="00321BB0">
        <w:rPr>
          <w:rFonts w:ascii="Century Gothic" w:hAnsi="Century Gothic"/>
        </w:rPr>
        <w:tab/>
      </w:r>
      <w:r w:rsidRPr="00321BB0">
        <w:rPr>
          <w:rFonts w:ascii="Century Gothic" w:hAnsi="Century Gothic"/>
        </w:rPr>
        <w:tab/>
      </w:r>
      <w:r w:rsidRPr="00321BB0">
        <w:rPr>
          <w:rFonts w:ascii="Century Gothic" w:hAnsi="Century Gothic"/>
        </w:rPr>
        <w:tab/>
        <w:t>Annual</w:t>
      </w:r>
      <w:r w:rsidRPr="00321BB0">
        <w:rPr>
          <w:rFonts w:ascii="Century Gothic" w:hAnsi="Century Gothic"/>
        </w:rPr>
        <w:tab/>
      </w:r>
      <w:r w:rsidRPr="00321BB0">
        <w:rPr>
          <w:rFonts w:ascii="Century Gothic" w:hAnsi="Century Gothic"/>
          <w:u w:val="single"/>
        </w:rPr>
        <w:t>28,000</w:t>
      </w:r>
    </w:p>
    <w:p w14:paraId="769BE732" w14:textId="4CBF88DB" w:rsidR="00DE4BA1" w:rsidRPr="00321BB0" w:rsidRDefault="00DE4BA1" w:rsidP="00081327">
      <w:pPr>
        <w:pStyle w:val="NoSpacing"/>
        <w:jc w:val="both"/>
        <w:rPr>
          <w:rFonts w:ascii="Century Gothic" w:hAnsi="Century Gothic"/>
        </w:rPr>
      </w:pPr>
      <w:r w:rsidRPr="00321BB0">
        <w:rPr>
          <w:rFonts w:ascii="Century Gothic" w:hAnsi="Century Gothic"/>
        </w:rPr>
        <w:tab/>
      </w:r>
      <w:r w:rsidRPr="00321BB0">
        <w:rPr>
          <w:rFonts w:ascii="Century Gothic" w:hAnsi="Century Gothic"/>
        </w:rPr>
        <w:tab/>
      </w:r>
      <w:r w:rsidRPr="00321BB0">
        <w:rPr>
          <w:rFonts w:ascii="Century Gothic" w:hAnsi="Century Gothic"/>
        </w:rPr>
        <w:tab/>
      </w:r>
      <w:r w:rsidRPr="00321BB0">
        <w:rPr>
          <w:rFonts w:ascii="Century Gothic" w:hAnsi="Century Gothic"/>
        </w:rPr>
        <w:tab/>
        <w:t>Total Capital Allowance</w:t>
      </w:r>
      <w:r w:rsidRPr="00321BB0">
        <w:rPr>
          <w:rFonts w:ascii="Century Gothic" w:hAnsi="Century Gothic"/>
        </w:rPr>
        <w:tab/>
        <w:t xml:space="preserve">   </w:t>
      </w:r>
      <w:r w:rsidR="006D47D4">
        <w:rPr>
          <w:rFonts w:ascii="Century Gothic" w:hAnsi="Century Gothic"/>
        </w:rPr>
        <w:t>(</w:t>
      </w:r>
      <w:r w:rsidRPr="00321BB0">
        <w:rPr>
          <w:rFonts w:ascii="Century Gothic" w:hAnsi="Century Gothic"/>
          <w:u w:val="single"/>
        </w:rPr>
        <w:t>56,000</w:t>
      </w:r>
      <w:r w:rsidR="006D47D4">
        <w:rPr>
          <w:rFonts w:ascii="Century Gothic" w:hAnsi="Century Gothic"/>
          <w:u w:val="single"/>
        </w:rPr>
        <w:t>)</w:t>
      </w:r>
    </w:p>
    <w:p w14:paraId="47B55CCB" w14:textId="728C5EC6" w:rsidR="00DE4BA1" w:rsidRPr="00321BB0" w:rsidRDefault="00DE4BA1" w:rsidP="00081327">
      <w:pPr>
        <w:pStyle w:val="NoSpacing"/>
        <w:jc w:val="both"/>
        <w:rPr>
          <w:rFonts w:ascii="Century Gothic" w:hAnsi="Century Gothic"/>
        </w:rPr>
      </w:pPr>
      <w:r w:rsidRPr="00321BB0">
        <w:rPr>
          <w:rFonts w:ascii="Century Gothic" w:hAnsi="Century Gothic"/>
        </w:rPr>
        <w:tab/>
      </w:r>
      <w:r w:rsidRPr="00321BB0">
        <w:rPr>
          <w:rFonts w:ascii="Century Gothic" w:hAnsi="Century Gothic"/>
        </w:rPr>
        <w:tab/>
      </w:r>
      <w:r w:rsidRPr="00321BB0">
        <w:rPr>
          <w:rFonts w:ascii="Century Gothic" w:hAnsi="Century Gothic"/>
        </w:rPr>
        <w:tab/>
      </w:r>
      <w:r w:rsidRPr="00321BB0">
        <w:rPr>
          <w:rFonts w:ascii="Century Gothic" w:hAnsi="Century Gothic"/>
        </w:rPr>
        <w:tab/>
        <w:t>Residual Expenditure c/f</w:t>
      </w:r>
      <w:r w:rsidRPr="00321BB0">
        <w:rPr>
          <w:rFonts w:ascii="Century Gothic" w:hAnsi="Century Gothic"/>
        </w:rPr>
        <w:tab/>
        <w:t xml:space="preserve"> </w:t>
      </w:r>
      <w:r w:rsidR="002D6B08">
        <w:rPr>
          <w:rFonts w:ascii="Century Gothic" w:hAnsi="Century Gothic"/>
        </w:rPr>
        <w:t>$</w:t>
      </w:r>
      <w:r w:rsidRPr="00321BB0">
        <w:rPr>
          <w:rFonts w:ascii="Century Gothic" w:hAnsi="Century Gothic"/>
        </w:rPr>
        <w:t xml:space="preserve"> </w:t>
      </w:r>
      <w:r w:rsidR="001B42C1">
        <w:rPr>
          <w:rFonts w:ascii="Century Gothic" w:hAnsi="Century Gothic"/>
        </w:rPr>
        <w:t xml:space="preserve"> </w:t>
      </w:r>
      <w:r w:rsidRPr="00321BB0">
        <w:rPr>
          <w:rFonts w:ascii="Century Gothic" w:hAnsi="Century Gothic"/>
        </w:rPr>
        <w:t>84,000</w:t>
      </w:r>
    </w:p>
    <w:p w14:paraId="6CC9D21B" w14:textId="158E52B8" w:rsidR="00120874" w:rsidRPr="00321BB0" w:rsidRDefault="00120874" w:rsidP="00081327">
      <w:pPr>
        <w:pStyle w:val="NoSpacing"/>
        <w:jc w:val="both"/>
        <w:rPr>
          <w:rFonts w:ascii="Century Gothic" w:hAnsi="Century Gothic"/>
        </w:rPr>
      </w:pPr>
    </w:p>
    <w:p w14:paraId="33698EA1" w14:textId="77777777" w:rsidR="00034E7A" w:rsidRDefault="00034E7A" w:rsidP="00081327">
      <w:pPr>
        <w:pStyle w:val="NoSpacing"/>
        <w:jc w:val="both"/>
        <w:rPr>
          <w:rFonts w:ascii="Century Gothic" w:hAnsi="Century Gothic"/>
          <w:b/>
          <w:bCs/>
          <w:u w:val="single"/>
        </w:rPr>
      </w:pPr>
    </w:p>
    <w:p w14:paraId="10080888" w14:textId="1BE4D8BA" w:rsidR="00120874" w:rsidRPr="00321BB0" w:rsidRDefault="00120874" w:rsidP="00081327">
      <w:pPr>
        <w:pStyle w:val="NoSpacing"/>
        <w:jc w:val="both"/>
        <w:rPr>
          <w:rFonts w:ascii="Century Gothic" w:hAnsi="Century Gothic"/>
          <w:b/>
          <w:bCs/>
          <w:u w:val="single"/>
        </w:rPr>
      </w:pPr>
      <w:r w:rsidRPr="00321BB0">
        <w:rPr>
          <w:rFonts w:ascii="Century Gothic" w:hAnsi="Century Gothic"/>
          <w:b/>
          <w:bCs/>
          <w:u w:val="single"/>
        </w:rPr>
        <w:lastRenderedPageBreak/>
        <w:t xml:space="preserve">Illustration </w:t>
      </w:r>
      <w:r w:rsidR="00DE4BA1" w:rsidRPr="00321BB0">
        <w:rPr>
          <w:rFonts w:ascii="Century Gothic" w:hAnsi="Century Gothic"/>
          <w:b/>
          <w:bCs/>
          <w:u w:val="single"/>
        </w:rPr>
        <w:t>2</w:t>
      </w:r>
      <w:r w:rsidRPr="00321BB0">
        <w:rPr>
          <w:rFonts w:ascii="Century Gothic" w:hAnsi="Century Gothic"/>
          <w:b/>
          <w:bCs/>
          <w:u w:val="single"/>
        </w:rPr>
        <w:t xml:space="preserve">: </w:t>
      </w:r>
    </w:p>
    <w:p w14:paraId="609486F9" w14:textId="3D0AE52F" w:rsidR="00120874" w:rsidRPr="00321BB0" w:rsidRDefault="00120874" w:rsidP="00081327">
      <w:pPr>
        <w:pStyle w:val="NoSpacing"/>
        <w:jc w:val="both"/>
        <w:rPr>
          <w:rFonts w:ascii="Century Gothic" w:hAnsi="Century Gothic"/>
        </w:rPr>
      </w:pPr>
    </w:p>
    <w:p w14:paraId="380E1582" w14:textId="5E17E30B" w:rsidR="00256EB3" w:rsidRPr="00321BB0" w:rsidRDefault="00120874" w:rsidP="00081327">
      <w:pPr>
        <w:pStyle w:val="NoSpacing"/>
        <w:jc w:val="both"/>
        <w:rPr>
          <w:rFonts w:ascii="Century Gothic" w:hAnsi="Century Gothic"/>
        </w:rPr>
      </w:pPr>
      <w:r w:rsidRPr="00321BB0">
        <w:rPr>
          <w:rFonts w:ascii="Century Gothic" w:hAnsi="Century Gothic"/>
        </w:rPr>
        <w:t>C</w:t>
      </w:r>
      <w:r w:rsidR="00261464" w:rsidRPr="00321BB0">
        <w:rPr>
          <w:rFonts w:ascii="Century Gothic" w:hAnsi="Century Gothic"/>
        </w:rPr>
        <w:t>A</w:t>
      </w:r>
      <w:r w:rsidRPr="00321BB0">
        <w:rPr>
          <w:rFonts w:ascii="Century Gothic" w:hAnsi="Century Gothic"/>
        </w:rPr>
        <w:t xml:space="preserve"> of </w:t>
      </w:r>
      <w:r w:rsidR="00984E66" w:rsidRPr="00321BB0">
        <w:rPr>
          <w:rFonts w:ascii="Century Gothic" w:hAnsi="Century Gothic"/>
        </w:rPr>
        <w:t>the relevant</w:t>
      </w:r>
      <w:r w:rsidRPr="00321BB0">
        <w:rPr>
          <w:rFonts w:ascii="Century Gothic" w:hAnsi="Century Gothic"/>
        </w:rPr>
        <w:t xml:space="preserve"> year of assessment is deducted from the </w:t>
      </w:r>
      <w:r w:rsidR="00162154" w:rsidRPr="00321BB0">
        <w:rPr>
          <w:rFonts w:ascii="Century Gothic" w:hAnsi="Century Gothic"/>
        </w:rPr>
        <w:t>Adjusted Income</w:t>
      </w:r>
      <w:r w:rsidR="00256EB3" w:rsidRPr="00321BB0">
        <w:rPr>
          <w:rFonts w:ascii="Century Gothic" w:hAnsi="Century Gothic"/>
        </w:rPr>
        <w:t xml:space="preserve"> as </w:t>
      </w:r>
      <w:r w:rsidR="00FE65A5" w:rsidRPr="00321BB0">
        <w:rPr>
          <w:rFonts w:ascii="Century Gothic" w:hAnsi="Century Gothic"/>
        </w:rPr>
        <w:t>set out</w:t>
      </w:r>
      <w:r w:rsidR="00256EB3" w:rsidRPr="00321BB0">
        <w:rPr>
          <w:rFonts w:ascii="Century Gothic" w:hAnsi="Century Gothic"/>
        </w:rPr>
        <w:t xml:space="preserve"> below:</w:t>
      </w:r>
    </w:p>
    <w:p w14:paraId="58A8C2CF" w14:textId="5D467330" w:rsidR="00256EB3" w:rsidRPr="00321BB0" w:rsidRDefault="00256EB3" w:rsidP="00081327">
      <w:pPr>
        <w:pStyle w:val="NoSpacing"/>
        <w:jc w:val="both"/>
        <w:rPr>
          <w:rFonts w:ascii="Century Gothic" w:hAnsi="Century Gothic"/>
        </w:rPr>
      </w:pPr>
    </w:p>
    <w:p w14:paraId="72BDD92B" w14:textId="1667BEEF" w:rsidR="00256EB3" w:rsidRPr="00321BB0" w:rsidRDefault="00256EB3" w:rsidP="00081327">
      <w:pPr>
        <w:pStyle w:val="NoSpacing"/>
        <w:jc w:val="both"/>
        <w:rPr>
          <w:rFonts w:ascii="Century Gothic" w:hAnsi="Century Gothic"/>
        </w:rPr>
      </w:pPr>
      <w:r w:rsidRPr="00321BB0">
        <w:rPr>
          <w:rFonts w:ascii="Century Gothic" w:hAnsi="Century Gothic"/>
        </w:rPr>
        <w:t>Capital Allowance</w:t>
      </w:r>
      <w:r w:rsidR="00F427A7" w:rsidRPr="00321BB0">
        <w:rPr>
          <w:rFonts w:ascii="Century Gothic" w:hAnsi="Century Gothic"/>
        </w:rPr>
        <w:t xml:space="preserve"> </w:t>
      </w:r>
      <w:r w:rsidRPr="00321BB0">
        <w:rPr>
          <w:rFonts w:ascii="Century Gothic" w:hAnsi="Century Gothic"/>
        </w:rPr>
        <w:t xml:space="preserve"> </w:t>
      </w:r>
      <w:r w:rsidR="00F427A7" w:rsidRPr="00321BB0">
        <w:rPr>
          <w:rFonts w:ascii="Century Gothic" w:hAnsi="Century Gothic"/>
        </w:rPr>
        <w:t xml:space="preserve">       </w:t>
      </w:r>
      <w:r w:rsidRPr="00321BB0">
        <w:rPr>
          <w:rFonts w:ascii="Century Gothic" w:hAnsi="Century Gothic"/>
        </w:rPr>
        <w:t xml:space="preserve"> </w:t>
      </w:r>
      <w:r w:rsidR="002D6B08">
        <w:rPr>
          <w:rFonts w:ascii="Century Gothic" w:hAnsi="Century Gothic"/>
        </w:rPr>
        <w:t xml:space="preserve">      </w:t>
      </w:r>
      <w:r w:rsidRPr="00321BB0">
        <w:rPr>
          <w:rFonts w:ascii="Century Gothic" w:hAnsi="Century Gothic"/>
        </w:rPr>
        <w:t xml:space="preserve">   </w:t>
      </w:r>
      <w:r w:rsidR="002D6B08">
        <w:rPr>
          <w:rFonts w:ascii="Century Gothic" w:hAnsi="Century Gothic"/>
        </w:rPr>
        <w:t>$</w:t>
      </w:r>
      <w:r w:rsidRPr="00321BB0">
        <w:rPr>
          <w:rFonts w:ascii="Century Gothic" w:hAnsi="Century Gothic"/>
        </w:rPr>
        <w:t xml:space="preserve">  </w:t>
      </w:r>
      <w:r w:rsidR="002D6B08">
        <w:rPr>
          <w:rFonts w:ascii="Century Gothic" w:hAnsi="Century Gothic"/>
        </w:rPr>
        <w:t xml:space="preserve"> </w:t>
      </w:r>
      <w:r w:rsidR="006D47D4">
        <w:rPr>
          <w:rFonts w:ascii="Century Gothic" w:hAnsi="Century Gothic"/>
        </w:rPr>
        <w:t>(</w:t>
      </w:r>
      <w:r w:rsidRPr="00321BB0">
        <w:rPr>
          <w:rFonts w:ascii="Century Gothic" w:hAnsi="Century Gothic"/>
        </w:rPr>
        <w:t>50,000</w:t>
      </w:r>
      <w:r w:rsidR="006D47D4">
        <w:rPr>
          <w:rFonts w:ascii="Century Gothic" w:hAnsi="Century Gothic"/>
        </w:rPr>
        <w:t>)</w:t>
      </w:r>
    </w:p>
    <w:p w14:paraId="03D01540" w14:textId="5F1FE14C" w:rsidR="00256EB3" w:rsidRPr="00321BB0" w:rsidRDefault="00256EB3" w:rsidP="00081327">
      <w:pPr>
        <w:pStyle w:val="NoSpacing"/>
        <w:jc w:val="both"/>
        <w:rPr>
          <w:rFonts w:ascii="Century Gothic" w:hAnsi="Century Gothic"/>
        </w:rPr>
      </w:pPr>
      <w:r w:rsidRPr="00321BB0">
        <w:rPr>
          <w:rFonts w:ascii="Century Gothic" w:hAnsi="Century Gothic"/>
        </w:rPr>
        <w:t xml:space="preserve">Net Profit                           </w:t>
      </w:r>
      <w:r w:rsidR="002D6B08">
        <w:rPr>
          <w:rFonts w:ascii="Century Gothic" w:hAnsi="Century Gothic"/>
        </w:rPr>
        <w:t xml:space="preserve">         $</w:t>
      </w:r>
      <w:r w:rsidRPr="00321BB0">
        <w:rPr>
          <w:rFonts w:ascii="Century Gothic" w:hAnsi="Century Gothic"/>
          <w:u w:val="single"/>
        </w:rPr>
        <w:t>1,000,000</w:t>
      </w:r>
    </w:p>
    <w:p w14:paraId="27731F9C" w14:textId="40CAB6BF" w:rsidR="00120874" w:rsidRPr="00321BB0" w:rsidRDefault="00162154" w:rsidP="00081327">
      <w:pPr>
        <w:pStyle w:val="NoSpacing"/>
        <w:jc w:val="both"/>
        <w:rPr>
          <w:rFonts w:ascii="Century Gothic" w:hAnsi="Century Gothic"/>
        </w:rPr>
      </w:pPr>
      <w:r w:rsidRPr="00321BB0">
        <w:rPr>
          <w:rFonts w:ascii="Century Gothic" w:hAnsi="Century Gothic"/>
        </w:rPr>
        <w:t xml:space="preserve">Statutory Income   </w:t>
      </w:r>
      <w:r w:rsidR="00256EB3" w:rsidRPr="00321BB0">
        <w:rPr>
          <w:rFonts w:ascii="Century Gothic" w:hAnsi="Century Gothic"/>
        </w:rPr>
        <w:t xml:space="preserve">        </w:t>
      </w:r>
      <w:r w:rsidR="001B42C1">
        <w:rPr>
          <w:rFonts w:ascii="Century Gothic" w:hAnsi="Century Gothic"/>
        </w:rPr>
        <w:t xml:space="preserve">     </w:t>
      </w:r>
      <w:r w:rsidR="00256EB3" w:rsidRPr="00321BB0">
        <w:rPr>
          <w:rFonts w:ascii="Century Gothic" w:hAnsi="Century Gothic"/>
        </w:rPr>
        <w:t xml:space="preserve">  </w:t>
      </w:r>
      <w:r w:rsidR="001B42C1">
        <w:rPr>
          <w:rFonts w:ascii="Century Gothic" w:hAnsi="Century Gothic"/>
        </w:rPr>
        <w:t xml:space="preserve">    $</w:t>
      </w:r>
      <w:r w:rsidR="00256EB3" w:rsidRPr="00321BB0">
        <w:rPr>
          <w:rFonts w:ascii="Century Gothic" w:hAnsi="Century Gothic"/>
        </w:rPr>
        <w:t xml:space="preserve">  </w:t>
      </w:r>
      <w:r w:rsidR="00256EB3" w:rsidRPr="00321BB0">
        <w:rPr>
          <w:rFonts w:ascii="Century Gothic" w:hAnsi="Century Gothic"/>
          <w:u w:val="single"/>
        </w:rPr>
        <w:t xml:space="preserve"> 950,000                </w:t>
      </w:r>
    </w:p>
    <w:p w14:paraId="0875CD6F" w14:textId="77777777" w:rsidR="002D6B08" w:rsidRDefault="002D6B08" w:rsidP="00081327">
      <w:pPr>
        <w:pStyle w:val="NoSpacing"/>
        <w:jc w:val="both"/>
        <w:rPr>
          <w:rFonts w:ascii="Century Gothic" w:hAnsi="Century Gothic"/>
        </w:rPr>
      </w:pPr>
    </w:p>
    <w:p w14:paraId="02510B30" w14:textId="130A2D3A" w:rsidR="003550D2" w:rsidRPr="00321BB0" w:rsidRDefault="003550D2" w:rsidP="00081327">
      <w:pPr>
        <w:pStyle w:val="NoSpacing"/>
        <w:jc w:val="both"/>
        <w:rPr>
          <w:rFonts w:ascii="Century Gothic" w:hAnsi="Century Gothic"/>
        </w:rPr>
      </w:pPr>
      <w:r w:rsidRPr="00321BB0">
        <w:rPr>
          <w:rFonts w:ascii="Century Gothic" w:hAnsi="Century Gothic"/>
        </w:rPr>
        <w:t>Adjusted Income is the result of making ad</w:t>
      </w:r>
      <w:r w:rsidR="00FE65A5" w:rsidRPr="00321BB0">
        <w:rPr>
          <w:rFonts w:ascii="Century Gothic" w:hAnsi="Century Gothic"/>
        </w:rPr>
        <w:t>j</w:t>
      </w:r>
      <w:r w:rsidRPr="00321BB0">
        <w:rPr>
          <w:rFonts w:ascii="Century Gothic" w:hAnsi="Century Gothic"/>
        </w:rPr>
        <w:t xml:space="preserve">ustment to </w:t>
      </w:r>
      <w:r w:rsidR="00714067" w:rsidRPr="00321BB0">
        <w:rPr>
          <w:rFonts w:ascii="Century Gothic" w:hAnsi="Century Gothic"/>
        </w:rPr>
        <w:t xml:space="preserve">the </w:t>
      </w:r>
      <w:r w:rsidRPr="00321BB0">
        <w:rPr>
          <w:rFonts w:ascii="Century Gothic" w:hAnsi="Century Gothic"/>
        </w:rPr>
        <w:t>Net Profit/Loss where non-liable receipts are removed and non-allowable expenses added back</w:t>
      </w:r>
      <w:r w:rsidR="00FE65A5" w:rsidRPr="00321BB0">
        <w:rPr>
          <w:rFonts w:ascii="Century Gothic" w:hAnsi="Century Gothic"/>
        </w:rPr>
        <w:t>.</w:t>
      </w:r>
    </w:p>
    <w:p w14:paraId="1B22B477" w14:textId="77777777" w:rsidR="00F427A7" w:rsidRPr="00321BB0" w:rsidRDefault="00F427A7" w:rsidP="00081327">
      <w:pPr>
        <w:pStyle w:val="NoSpacing"/>
        <w:jc w:val="both"/>
        <w:rPr>
          <w:rFonts w:ascii="Century Gothic" w:hAnsi="Century Gothic"/>
        </w:rPr>
      </w:pPr>
    </w:p>
    <w:p w14:paraId="3C1013B4" w14:textId="0E77A061" w:rsidR="00162154" w:rsidRPr="00321BB0" w:rsidRDefault="00162154" w:rsidP="00754EBD">
      <w:pPr>
        <w:pStyle w:val="NoSpacing"/>
        <w:jc w:val="both"/>
        <w:rPr>
          <w:rFonts w:ascii="Century Gothic" w:hAnsi="Century Gothic"/>
          <w:highlight w:val="yellow"/>
        </w:rPr>
      </w:pPr>
      <w:r w:rsidRPr="00321BB0">
        <w:rPr>
          <w:rFonts w:ascii="Century Gothic" w:hAnsi="Century Gothic"/>
        </w:rPr>
        <w:t>However, in an Adjusted Loss situation, the CA</w:t>
      </w:r>
      <w:r w:rsidR="00FE65A5" w:rsidRPr="00321BB0">
        <w:rPr>
          <w:rFonts w:ascii="Century Gothic" w:hAnsi="Century Gothic"/>
        </w:rPr>
        <w:t>,</w:t>
      </w:r>
      <w:r w:rsidRPr="00321BB0">
        <w:rPr>
          <w:rFonts w:ascii="Century Gothic" w:hAnsi="Century Gothic"/>
        </w:rPr>
        <w:t xml:space="preserve"> despite being a negative figure, does not increase the </w:t>
      </w:r>
      <w:r w:rsidR="003550D2" w:rsidRPr="00321BB0">
        <w:rPr>
          <w:rFonts w:ascii="Century Gothic" w:hAnsi="Century Gothic"/>
        </w:rPr>
        <w:t>Adjusted</w:t>
      </w:r>
      <w:r w:rsidRPr="00321BB0">
        <w:rPr>
          <w:rFonts w:ascii="Century Gothic" w:hAnsi="Century Gothic"/>
        </w:rPr>
        <w:t xml:space="preserve"> Loss</w:t>
      </w:r>
      <w:r w:rsidR="003550D2" w:rsidRPr="00321BB0">
        <w:rPr>
          <w:rFonts w:ascii="Century Gothic" w:hAnsi="Century Gothic"/>
        </w:rPr>
        <w:t xml:space="preserve">; </w:t>
      </w:r>
      <w:r w:rsidR="00E10731" w:rsidRPr="00321BB0">
        <w:rPr>
          <w:rFonts w:ascii="Century Gothic" w:hAnsi="Century Gothic"/>
        </w:rPr>
        <w:t xml:space="preserve">rather, </w:t>
      </w:r>
      <w:r w:rsidRPr="00321BB0">
        <w:rPr>
          <w:rFonts w:ascii="Century Gothic" w:hAnsi="Century Gothic"/>
        </w:rPr>
        <w:t>the CA is carried forward to be offset against the following year’s Adjusted Income. (</w:t>
      </w:r>
      <w:r w:rsidR="003550D2" w:rsidRPr="00321BB0">
        <w:rPr>
          <w:rFonts w:ascii="Century Gothic" w:hAnsi="Century Gothic"/>
        </w:rPr>
        <w:t xml:space="preserve">Paragraph </w:t>
      </w:r>
      <w:r w:rsidRPr="00321BB0">
        <w:rPr>
          <w:rFonts w:ascii="Century Gothic" w:hAnsi="Century Gothic"/>
        </w:rPr>
        <w:t>75</w:t>
      </w:r>
      <w:r w:rsidR="00FE65A5" w:rsidRPr="00321BB0">
        <w:rPr>
          <w:rFonts w:ascii="Century Gothic" w:hAnsi="Century Gothic"/>
        </w:rPr>
        <w:t xml:space="preserve"> of Schedule 3</w:t>
      </w:r>
      <w:r w:rsidRPr="00321BB0">
        <w:rPr>
          <w:rFonts w:ascii="Century Gothic" w:hAnsi="Century Gothic"/>
        </w:rPr>
        <w:t>)</w:t>
      </w:r>
      <w:r w:rsidR="00FE65A5" w:rsidRPr="00321BB0">
        <w:rPr>
          <w:rFonts w:ascii="Century Gothic" w:hAnsi="Century Gothic"/>
        </w:rPr>
        <w:t>.</w:t>
      </w:r>
    </w:p>
    <w:p w14:paraId="1E507405" w14:textId="0F7FA1EF" w:rsidR="007E1F86" w:rsidRDefault="007E1F86" w:rsidP="00754EBD">
      <w:pPr>
        <w:pStyle w:val="NoSpacing"/>
        <w:jc w:val="both"/>
        <w:rPr>
          <w:rFonts w:ascii="Century Gothic" w:hAnsi="Century Gothic"/>
          <w:color w:val="0000CC"/>
        </w:rPr>
      </w:pPr>
    </w:p>
    <w:p w14:paraId="2E74178E" w14:textId="2C485ADC" w:rsidR="007E1F86" w:rsidRPr="004C36ED" w:rsidRDefault="007E1F86" w:rsidP="00754EBD">
      <w:pPr>
        <w:pStyle w:val="NoSpacing"/>
        <w:jc w:val="both"/>
        <w:rPr>
          <w:rFonts w:ascii="Century Gothic" w:hAnsi="Century Gothic"/>
          <w:color w:val="000000" w:themeColor="text1"/>
        </w:rPr>
      </w:pPr>
      <w:r w:rsidRPr="00797B0D">
        <w:rPr>
          <w:rFonts w:ascii="Century Gothic" w:hAnsi="Century Gothic"/>
          <w:color w:val="000000" w:themeColor="text1"/>
        </w:rPr>
        <w:t>Paragraph 75 read as follows:</w:t>
      </w:r>
    </w:p>
    <w:p w14:paraId="40CEB749" w14:textId="77777777" w:rsidR="004C36ED" w:rsidRDefault="004C36ED" w:rsidP="00754EBD">
      <w:pPr>
        <w:pStyle w:val="NoSpacing"/>
        <w:jc w:val="both"/>
        <w:rPr>
          <w:rFonts w:ascii="Century Gothic" w:hAnsi="Century Gothic"/>
          <w:color w:val="0000CC"/>
        </w:rPr>
      </w:pPr>
    </w:p>
    <w:p w14:paraId="7F8D67AF" w14:textId="77777777" w:rsidR="007E1F86" w:rsidRPr="004C36ED" w:rsidRDefault="007E1F86" w:rsidP="00754EBD">
      <w:pPr>
        <w:pStyle w:val="NoSpacing"/>
        <w:jc w:val="both"/>
        <w:rPr>
          <w:rFonts w:ascii="Century Gothic" w:hAnsi="Century Gothic"/>
          <w:color w:val="000000" w:themeColor="text1"/>
        </w:rPr>
      </w:pPr>
      <w:r w:rsidRPr="004C36ED">
        <w:rPr>
          <w:rFonts w:ascii="Century Gothic" w:hAnsi="Century Gothic"/>
          <w:color w:val="000000" w:themeColor="text1"/>
        </w:rPr>
        <w:t xml:space="preserve">            “Subject to paragraph 75A, where, by reason of an insufficiency or absence of </w:t>
      </w:r>
    </w:p>
    <w:p w14:paraId="04EB11B2" w14:textId="5107F029" w:rsidR="004C36ED" w:rsidRPr="004C36ED" w:rsidRDefault="007E1F86" w:rsidP="00754EBD">
      <w:pPr>
        <w:pStyle w:val="NoSpacing"/>
        <w:jc w:val="both"/>
        <w:rPr>
          <w:rFonts w:ascii="Century Gothic" w:hAnsi="Century Gothic"/>
          <w:color w:val="000000" w:themeColor="text1"/>
        </w:rPr>
      </w:pPr>
      <w:r w:rsidRPr="004C36ED">
        <w:rPr>
          <w:rFonts w:ascii="Century Gothic" w:hAnsi="Century Gothic"/>
          <w:color w:val="000000" w:themeColor="text1"/>
        </w:rPr>
        <w:t xml:space="preserve">              adjusted income of a person from a business of his</w:t>
      </w:r>
      <w:r w:rsidR="005B6092" w:rsidRPr="004C36ED">
        <w:rPr>
          <w:rFonts w:ascii="Century Gothic" w:hAnsi="Century Gothic"/>
          <w:color w:val="000000" w:themeColor="text1"/>
        </w:rPr>
        <w:t xml:space="preserve"> fo</w:t>
      </w:r>
      <w:r w:rsidR="004C36ED">
        <w:rPr>
          <w:rFonts w:ascii="Century Gothic" w:hAnsi="Century Gothic"/>
          <w:color w:val="000000" w:themeColor="text1"/>
        </w:rPr>
        <w:t>r</w:t>
      </w:r>
      <w:r w:rsidRPr="004C36ED">
        <w:rPr>
          <w:rFonts w:ascii="Century Gothic" w:hAnsi="Century Gothic"/>
          <w:color w:val="000000" w:themeColor="text1"/>
        </w:rPr>
        <w:t xml:space="preserve"> the basis period for a</w:t>
      </w:r>
    </w:p>
    <w:p w14:paraId="4CA284D7" w14:textId="697C7515" w:rsidR="007E1F86" w:rsidRPr="004C36ED" w:rsidRDefault="004C36ED" w:rsidP="00754EBD">
      <w:pPr>
        <w:pStyle w:val="NoSpacing"/>
        <w:jc w:val="both"/>
        <w:rPr>
          <w:rFonts w:ascii="Century Gothic" w:hAnsi="Century Gothic"/>
          <w:color w:val="000000" w:themeColor="text1"/>
        </w:rPr>
      </w:pPr>
      <w:r w:rsidRPr="004C36ED">
        <w:rPr>
          <w:rFonts w:ascii="Century Gothic" w:hAnsi="Century Gothic"/>
          <w:color w:val="000000" w:themeColor="text1"/>
        </w:rPr>
        <w:t xml:space="preserve">             </w:t>
      </w:r>
      <w:r w:rsidR="007E1F86" w:rsidRPr="004C36ED">
        <w:rPr>
          <w:rFonts w:ascii="Century Gothic" w:hAnsi="Century Gothic"/>
          <w:color w:val="000000" w:themeColor="text1"/>
        </w:rPr>
        <w:t xml:space="preserve"> year</w:t>
      </w:r>
      <w:r w:rsidRPr="004C36ED">
        <w:rPr>
          <w:rFonts w:ascii="Century Gothic" w:hAnsi="Century Gothic"/>
          <w:color w:val="000000" w:themeColor="text1"/>
        </w:rPr>
        <w:t xml:space="preserve"> </w:t>
      </w:r>
      <w:r w:rsidR="007E1F86" w:rsidRPr="004C36ED">
        <w:rPr>
          <w:rFonts w:ascii="Century Gothic" w:hAnsi="Century Gothic"/>
          <w:color w:val="000000" w:themeColor="text1"/>
        </w:rPr>
        <w:t>of assessment or by reason of the existence of an adjusted loss from the</w:t>
      </w:r>
    </w:p>
    <w:p w14:paraId="64C2D9B2" w14:textId="77777777" w:rsidR="004C36ED" w:rsidRPr="004C36ED" w:rsidRDefault="007E1F86" w:rsidP="00754EBD">
      <w:pPr>
        <w:pStyle w:val="NoSpacing"/>
        <w:jc w:val="both"/>
        <w:rPr>
          <w:rFonts w:ascii="Century Gothic" w:hAnsi="Century Gothic"/>
          <w:color w:val="000000" w:themeColor="text1"/>
        </w:rPr>
      </w:pPr>
      <w:r w:rsidRPr="004C36ED">
        <w:rPr>
          <w:rFonts w:ascii="Century Gothic" w:hAnsi="Century Gothic"/>
          <w:color w:val="000000" w:themeColor="text1"/>
        </w:rPr>
        <w:t xml:space="preserve">              business for that period, effect cannot be given or cannot be given in full to </w:t>
      </w:r>
    </w:p>
    <w:p w14:paraId="7DB95E47" w14:textId="3E15696B" w:rsidR="004C36ED" w:rsidRPr="004C36ED" w:rsidRDefault="004C36ED" w:rsidP="00754EBD">
      <w:pPr>
        <w:pStyle w:val="NoSpacing"/>
        <w:jc w:val="both"/>
        <w:rPr>
          <w:rFonts w:ascii="Century Gothic" w:hAnsi="Century Gothic"/>
          <w:color w:val="000000" w:themeColor="text1"/>
        </w:rPr>
      </w:pPr>
      <w:r w:rsidRPr="004C36ED">
        <w:rPr>
          <w:rFonts w:ascii="Century Gothic" w:hAnsi="Century Gothic"/>
          <w:color w:val="000000" w:themeColor="text1"/>
        </w:rPr>
        <w:t xml:space="preserve">              </w:t>
      </w:r>
      <w:r w:rsidR="007E1F86" w:rsidRPr="004C36ED">
        <w:rPr>
          <w:rFonts w:ascii="Century Gothic" w:hAnsi="Century Gothic"/>
          <w:color w:val="000000" w:themeColor="text1"/>
        </w:rPr>
        <w:t>any allowances or to the aggregate amount of any allowances falling to be</w:t>
      </w:r>
    </w:p>
    <w:p w14:paraId="20D49652" w14:textId="77777777" w:rsidR="004C36ED" w:rsidRPr="004C36ED" w:rsidRDefault="004C36ED" w:rsidP="00754EBD">
      <w:pPr>
        <w:pStyle w:val="NoSpacing"/>
        <w:jc w:val="both"/>
        <w:rPr>
          <w:rFonts w:ascii="Century Gothic" w:hAnsi="Century Gothic"/>
          <w:color w:val="000000" w:themeColor="text1"/>
        </w:rPr>
      </w:pPr>
      <w:r w:rsidRPr="004C36ED">
        <w:rPr>
          <w:rFonts w:ascii="Century Gothic" w:hAnsi="Century Gothic"/>
          <w:color w:val="000000" w:themeColor="text1"/>
        </w:rPr>
        <w:t xml:space="preserve">             </w:t>
      </w:r>
      <w:r w:rsidR="007E1F86" w:rsidRPr="004C36ED">
        <w:rPr>
          <w:rFonts w:ascii="Century Gothic" w:hAnsi="Century Gothic"/>
          <w:color w:val="000000" w:themeColor="text1"/>
        </w:rPr>
        <w:t xml:space="preserve"> made to him for that year in relation to the source consisting of that business,</w:t>
      </w:r>
    </w:p>
    <w:p w14:paraId="060F83A1" w14:textId="77777777" w:rsidR="004C36ED" w:rsidRPr="004C36ED" w:rsidRDefault="004C36ED" w:rsidP="00754EBD">
      <w:pPr>
        <w:pStyle w:val="NoSpacing"/>
        <w:jc w:val="both"/>
        <w:rPr>
          <w:rFonts w:ascii="Century Gothic" w:hAnsi="Century Gothic"/>
          <w:color w:val="000000" w:themeColor="text1"/>
        </w:rPr>
      </w:pPr>
      <w:r w:rsidRPr="004C36ED">
        <w:rPr>
          <w:rFonts w:ascii="Century Gothic" w:hAnsi="Century Gothic"/>
          <w:color w:val="000000" w:themeColor="text1"/>
        </w:rPr>
        <w:t xml:space="preserve">             </w:t>
      </w:r>
      <w:r w:rsidR="007E1F86" w:rsidRPr="004C36ED">
        <w:rPr>
          <w:rFonts w:ascii="Century Gothic" w:hAnsi="Century Gothic"/>
          <w:color w:val="000000" w:themeColor="text1"/>
        </w:rPr>
        <w:t xml:space="preserve"> that allowance or that aggregate amount</w:t>
      </w:r>
      <w:r w:rsidR="005B6092" w:rsidRPr="004C36ED">
        <w:rPr>
          <w:rFonts w:ascii="Century Gothic" w:hAnsi="Century Gothic"/>
          <w:color w:val="000000" w:themeColor="text1"/>
        </w:rPr>
        <w:t>, as the case may be, which has</w:t>
      </w:r>
    </w:p>
    <w:p w14:paraId="005ACC2C" w14:textId="3657593A" w:rsidR="004C36ED" w:rsidRPr="004C36ED" w:rsidRDefault="004C36ED" w:rsidP="00754EBD">
      <w:pPr>
        <w:pStyle w:val="NoSpacing"/>
        <w:jc w:val="both"/>
        <w:rPr>
          <w:rFonts w:ascii="Century Gothic" w:hAnsi="Century Gothic"/>
          <w:color w:val="000000" w:themeColor="text1"/>
        </w:rPr>
      </w:pPr>
      <w:r w:rsidRPr="004C36ED">
        <w:rPr>
          <w:rFonts w:ascii="Century Gothic" w:hAnsi="Century Gothic"/>
          <w:color w:val="000000" w:themeColor="text1"/>
        </w:rPr>
        <w:t xml:space="preserve">             </w:t>
      </w:r>
      <w:r w:rsidR="005B6092" w:rsidRPr="004C36ED">
        <w:rPr>
          <w:rFonts w:ascii="Century Gothic" w:hAnsi="Century Gothic"/>
          <w:color w:val="000000" w:themeColor="text1"/>
        </w:rPr>
        <w:t xml:space="preserve"> not been so made (or so much thereof as has not been so made to him for</w:t>
      </w:r>
    </w:p>
    <w:p w14:paraId="4243E3B4" w14:textId="77777777" w:rsidR="004C36ED" w:rsidRPr="004C36ED" w:rsidRDefault="004C36ED" w:rsidP="00754EBD">
      <w:pPr>
        <w:pStyle w:val="NoSpacing"/>
        <w:jc w:val="both"/>
        <w:rPr>
          <w:rFonts w:ascii="Century Gothic" w:hAnsi="Century Gothic"/>
          <w:color w:val="000000" w:themeColor="text1"/>
        </w:rPr>
      </w:pPr>
      <w:r w:rsidRPr="004C36ED">
        <w:rPr>
          <w:rFonts w:ascii="Century Gothic" w:hAnsi="Century Gothic"/>
          <w:color w:val="000000" w:themeColor="text1"/>
        </w:rPr>
        <w:t xml:space="preserve">             </w:t>
      </w:r>
      <w:r w:rsidR="005B6092" w:rsidRPr="004C36ED">
        <w:rPr>
          <w:rFonts w:ascii="Century Gothic" w:hAnsi="Century Gothic"/>
          <w:color w:val="000000" w:themeColor="text1"/>
        </w:rPr>
        <w:t xml:space="preserve"> that year) shall be deemed to be an allowance to be made to him for the</w:t>
      </w:r>
    </w:p>
    <w:p w14:paraId="3088D00F" w14:textId="77777777" w:rsidR="004C36ED" w:rsidRPr="004C36ED" w:rsidRDefault="004C36ED" w:rsidP="00754EBD">
      <w:pPr>
        <w:pStyle w:val="NoSpacing"/>
        <w:jc w:val="both"/>
        <w:rPr>
          <w:rFonts w:ascii="Century Gothic" w:hAnsi="Century Gothic"/>
          <w:color w:val="000000" w:themeColor="text1"/>
        </w:rPr>
      </w:pPr>
      <w:r w:rsidRPr="004C36ED">
        <w:rPr>
          <w:rFonts w:ascii="Century Gothic" w:hAnsi="Century Gothic"/>
          <w:color w:val="000000" w:themeColor="text1"/>
        </w:rPr>
        <w:t xml:space="preserve">         </w:t>
      </w:r>
      <w:r w:rsidR="005B6092" w:rsidRPr="004C36ED">
        <w:rPr>
          <w:rFonts w:ascii="Century Gothic" w:hAnsi="Century Gothic"/>
          <w:color w:val="000000" w:themeColor="text1"/>
        </w:rPr>
        <w:t xml:space="preserve"> </w:t>
      </w:r>
      <w:r w:rsidRPr="004C36ED">
        <w:rPr>
          <w:rFonts w:ascii="Century Gothic" w:hAnsi="Century Gothic"/>
          <w:color w:val="000000" w:themeColor="text1"/>
        </w:rPr>
        <w:t xml:space="preserve">    </w:t>
      </w:r>
      <w:r w:rsidR="005B6092" w:rsidRPr="004C36ED">
        <w:rPr>
          <w:rFonts w:ascii="Century Gothic" w:hAnsi="Century Gothic"/>
          <w:color w:val="000000" w:themeColor="text1"/>
        </w:rPr>
        <w:t>first subsequent year of assessment for the basis period for which there is</w:t>
      </w:r>
    </w:p>
    <w:p w14:paraId="12B9A0C4" w14:textId="77777777" w:rsidR="004C36ED" w:rsidRPr="004C36ED" w:rsidRDefault="004C36ED" w:rsidP="00754EBD">
      <w:pPr>
        <w:pStyle w:val="NoSpacing"/>
        <w:jc w:val="both"/>
        <w:rPr>
          <w:rFonts w:ascii="Century Gothic" w:hAnsi="Century Gothic"/>
          <w:color w:val="000000" w:themeColor="text1"/>
        </w:rPr>
      </w:pPr>
      <w:r w:rsidRPr="004C36ED">
        <w:rPr>
          <w:rFonts w:ascii="Century Gothic" w:hAnsi="Century Gothic"/>
          <w:color w:val="000000" w:themeColor="text1"/>
        </w:rPr>
        <w:t xml:space="preserve">             </w:t>
      </w:r>
      <w:r w:rsidR="005B6092" w:rsidRPr="004C36ED">
        <w:rPr>
          <w:rFonts w:ascii="Century Gothic" w:hAnsi="Century Gothic"/>
          <w:color w:val="000000" w:themeColor="text1"/>
        </w:rPr>
        <w:t xml:space="preserve"> adjusted income from that business, and so on for subsequent years of </w:t>
      </w:r>
    </w:p>
    <w:p w14:paraId="37E11FC3" w14:textId="77777777" w:rsidR="004C36ED" w:rsidRPr="004C36ED" w:rsidRDefault="004C36ED" w:rsidP="00754EBD">
      <w:pPr>
        <w:pStyle w:val="NoSpacing"/>
        <w:jc w:val="both"/>
        <w:rPr>
          <w:rFonts w:ascii="Century Gothic" w:hAnsi="Century Gothic"/>
          <w:color w:val="000000" w:themeColor="text1"/>
        </w:rPr>
      </w:pPr>
      <w:r w:rsidRPr="004C36ED">
        <w:rPr>
          <w:rFonts w:ascii="Century Gothic" w:hAnsi="Century Gothic"/>
          <w:color w:val="000000" w:themeColor="text1"/>
        </w:rPr>
        <w:t xml:space="preserve">              </w:t>
      </w:r>
      <w:r w:rsidR="005B6092" w:rsidRPr="004C36ED">
        <w:rPr>
          <w:rFonts w:ascii="Century Gothic" w:hAnsi="Century Gothic"/>
          <w:color w:val="000000" w:themeColor="text1"/>
        </w:rPr>
        <w:t>assessment until the whole amount of the allowance or that aggregate</w:t>
      </w:r>
    </w:p>
    <w:p w14:paraId="277CFDF7" w14:textId="74258368" w:rsidR="007E1F86" w:rsidRDefault="004C36ED" w:rsidP="00754EBD">
      <w:pPr>
        <w:pStyle w:val="NoSpacing"/>
        <w:jc w:val="both"/>
        <w:rPr>
          <w:rFonts w:ascii="Century Gothic" w:hAnsi="Century Gothic"/>
          <w:color w:val="000000" w:themeColor="text1"/>
        </w:rPr>
      </w:pPr>
      <w:r w:rsidRPr="004C36ED">
        <w:rPr>
          <w:rFonts w:ascii="Century Gothic" w:hAnsi="Century Gothic"/>
          <w:color w:val="000000" w:themeColor="text1"/>
        </w:rPr>
        <w:t xml:space="preserve">             </w:t>
      </w:r>
      <w:r w:rsidR="005B6092" w:rsidRPr="004C36ED">
        <w:rPr>
          <w:rFonts w:ascii="Century Gothic" w:hAnsi="Century Gothic"/>
          <w:color w:val="000000" w:themeColor="text1"/>
        </w:rPr>
        <w:t xml:space="preserve"> amount to be made to him has been made to him”</w:t>
      </w:r>
      <w:r w:rsidRPr="004C36ED">
        <w:rPr>
          <w:rFonts w:ascii="Century Gothic" w:hAnsi="Century Gothic"/>
          <w:color w:val="000000" w:themeColor="text1"/>
        </w:rPr>
        <w:t>.</w:t>
      </w:r>
    </w:p>
    <w:p w14:paraId="5E2F32D4" w14:textId="53BDC735" w:rsidR="004C36ED" w:rsidRDefault="004C36ED" w:rsidP="00754EBD">
      <w:pPr>
        <w:pStyle w:val="NoSpacing"/>
        <w:jc w:val="both"/>
        <w:rPr>
          <w:rFonts w:ascii="Century Gothic" w:hAnsi="Century Gothic"/>
          <w:color w:val="000000" w:themeColor="text1"/>
        </w:rPr>
      </w:pPr>
    </w:p>
    <w:p w14:paraId="32900E14" w14:textId="5B029BF2" w:rsidR="004C36ED" w:rsidRPr="004C36ED" w:rsidRDefault="004C36ED" w:rsidP="00754EBD">
      <w:pPr>
        <w:pStyle w:val="NoSpacing"/>
        <w:jc w:val="both"/>
        <w:rPr>
          <w:rFonts w:ascii="Century Gothic" w:hAnsi="Century Gothic"/>
          <w:color w:val="000000" w:themeColor="text1"/>
        </w:rPr>
      </w:pPr>
      <w:r>
        <w:rPr>
          <w:rFonts w:ascii="Century Gothic" w:hAnsi="Century Gothic"/>
          <w:color w:val="000000" w:themeColor="text1"/>
        </w:rPr>
        <w:t xml:space="preserve">For ease of understanding of Paragraph 75, Illustration 3 depicts the </w:t>
      </w:r>
      <w:r w:rsidR="00797B0D">
        <w:rPr>
          <w:rFonts w:ascii="Century Gothic" w:hAnsi="Century Gothic"/>
          <w:color w:val="000000" w:themeColor="text1"/>
        </w:rPr>
        <w:t xml:space="preserve">following </w:t>
      </w:r>
      <w:r>
        <w:rPr>
          <w:rFonts w:ascii="Century Gothic" w:hAnsi="Century Gothic"/>
          <w:color w:val="000000" w:themeColor="text1"/>
        </w:rPr>
        <w:t>picture.</w:t>
      </w:r>
    </w:p>
    <w:p w14:paraId="50ED562E" w14:textId="77777777" w:rsidR="00162154" w:rsidRPr="00321BB0" w:rsidRDefault="00162154" w:rsidP="00754EBD">
      <w:pPr>
        <w:pStyle w:val="NoSpacing"/>
        <w:jc w:val="both"/>
        <w:rPr>
          <w:rFonts w:ascii="Century Gothic" w:hAnsi="Century Gothic"/>
        </w:rPr>
      </w:pPr>
    </w:p>
    <w:p w14:paraId="6EC31A32" w14:textId="6B13453D" w:rsidR="004B472D" w:rsidRPr="00321BB0" w:rsidRDefault="00256EB3" w:rsidP="00754EBD">
      <w:pPr>
        <w:pStyle w:val="NoSpacing"/>
        <w:jc w:val="both"/>
        <w:rPr>
          <w:rFonts w:ascii="Century Gothic" w:hAnsi="Century Gothic"/>
          <w:b/>
          <w:bCs/>
          <w:u w:val="single"/>
        </w:rPr>
      </w:pPr>
      <w:r w:rsidRPr="00321BB0">
        <w:rPr>
          <w:rFonts w:ascii="Century Gothic" w:hAnsi="Century Gothic"/>
          <w:b/>
          <w:bCs/>
          <w:u w:val="single"/>
        </w:rPr>
        <w:t xml:space="preserve">Illustration </w:t>
      </w:r>
      <w:r w:rsidR="00DE4BA1" w:rsidRPr="00321BB0">
        <w:rPr>
          <w:rFonts w:ascii="Century Gothic" w:hAnsi="Century Gothic"/>
          <w:b/>
          <w:bCs/>
          <w:u w:val="single"/>
        </w:rPr>
        <w:t>3:</w:t>
      </w:r>
    </w:p>
    <w:p w14:paraId="624937A6" w14:textId="2DE8BF69" w:rsidR="00256EB3" w:rsidRPr="00321BB0" w:rsidRDefault="00256EB3" w:rsidP="00754EBD">
      <w:pPr>
        <w:pStyle w:val="NoSpacing"/>
        <w:jc w:val="both"/>
        <w:rPr>
          <w:rFonts w:ascii="Century Gothic" w:hAnsi="Century Gothic"/>
        </w:rPr>
      </w:pPr>
    </w:p>
    <w:p w14:paraId="5503EC65" w14:textId="7F66A7C7" w:rsidR="00256EB3" w:rsidRPr="00321BB0" w:rsidRDefault="00256EB3" w:rsidP="00754EBD">
      <w:pPr>
        <w:pStyle w:val="NoSpacing"/>
        <w:jc w:val="both"/>
        <w:rPr>
          <w:rFonts w:ascii="Century Gothic" w:hAnsi="Century Gothic"/>
        </w:rPr>
      </w:pPr>
      <w:r w:rsidRPr="00321BB0">
        <w:rPr>
          <w:rFonts w:ascii="Century Gothic" w:hAnsi="Century Gothic"/>
        </w:rPr>
        <w:t xml:space="preserve">Capital Allowance           </w:t>
      </w:r>
      <w:r w:rsidR="00210F68">
        <w:rPr>
          <w:rFonts w:ascii="Century Gothic" w:hAnsi="Century Gothic"/>
        </w:rPr>
        <w:t xml:space="preserve">      </w:t>
      </w:r>
      <w:r w:rsidRPr="00321BB0">
        <w:rPr>
          <w:rFonts w:ascii="Century Gothic" w:hAnsi="Century Gothic"/>
        </w:rPr>
        <w:t xml:space="preserve">    </w:t>
      </w:r>
      <w:r w:rsidR="002D6B08">
        <w:rPr>
          <w:rFonts w:ascii="Century Gothic" w:hAnsi="Century Gothic"/>
        </w:rPr>
        <w:t>$</w:t>
      </w:r>
      <w:r w:rsidRPr="00321BB0">
        <w:rPr>
          <w:rFonts w:ascii="Century Gothic" w:hAnsi="Century Gothic"/>
        </w:rPr>
        <w:t xml:space="preserve"> </w:t>
      </w:r>
      <w:r w:rsidR="002D6B08">
        <w:rPr>
          <w:rFonts w:ascii="Century Gothic" w:hAnsi="Century Gothic"/>
        </w:rPr>
        <w:t xml:space="preserve"> </w:t>
      </w:r>
      <w:r w:rsidR="006D47D4">
        <w:rPr>
          <w:rFonts w:ascii="Century Gothic" w:hAnsi="Century Gothic"/>
        </w:rPr>
        <w:t>(</w:t>
      </w:r>
      <w:r w:rsidRPr="00321BB0">
        <w:rPr>
          <w:rFonts w:ascii="Century Gothic" w:hAnsi="Century Gothic"/>
        </w:rPr>
        <w:t>50,000</w:t>
      </w:r>
      <w:r w:rsidR="006D47D4">
        <w:rPr>
          <w:rFonts w:ascii="Century Gothic" w:hAnsi="Century Gothic"/>
        </w:rPr>
        <w:t>)</w:t>
      </w:r>
    </w:p>
    <w:p w14:paraId="1D5FDB06" w14:textId="2E411A24" w:rsidR="00256EB3" w:rsidRPr="00321BB0" w:rsidRDefault="003550D2" w:rsidP="00754EBD">
      <w:pPr>
        <w:pStyle w:val="NoSpacing"/>
        <w:jc w:val="both"/>
        <w:rPr>
          <w:rFonts w:ascii="Century Gothic" w:hAnsi="Century Gothic"/>
          <w:u w:val="single"/>
        </w:rPr>
      </w:pPr>
      <w:r w:rsidRPr="00321BB0">
        <w:rPr>
          <w:rFonts w:ascii="Century Gothic" w:hAnsi="Century Gothic"/>
        </w:rPr>
        <w:t>Adjusted</w:t>
      </w:r>
      <w:r w:rsidR="00256EB3" w:rsidRPr="00321BB0">
        <w:rPr>
          <w:rFonts w:ascii="Century Gothic" w:hAnsi="Century Gothic"/>
        </w:rPr>
        <w:t xml:space="preserve"> Loss                    </w:t>
      </w:r>
      <w:r w:rsidR="00210F68">
        <w:rPr>
          <w:rFonts w:ascii="Century Gothic" w:hAnsi="Century Gothic"/>
        </w:rPr>
        <w:t xml:space="preserve">      </w:t>
      </w:r>
      <w:r w:rsidR="00256EB3" w:rsidRPr="00321BB0">
        <w:rPr>
          <w:rFonts w:ascii="Century Gothic" w:hAnsi="Century Gothic"/>
        </w:rPr>
        <w:t xml:space="preserve">    </w:t>
      </w:r>
      <w:r w:rsidR="006D47D4">
        <w:rPr>
          <w:rFonts w:ascii="Century Gothic" w:hAnsi="Century Gothic"/>
          <w:u w:val="single"/>
        </w:rPr>
        <w:t>(</w:t>
      </w:r>
      <w:r w:rsidR="00256EB3" w:rsidRPr="00321BB0">
        <w:rPr>
          <w:rFonts w:ascii="Century Gothic" w:hAnsi="Century Gothic"/>
          <w:u w:val="single"/>
        </w:rPr>
        <w:t>1,000,000</w:t>
      </w:r>
      <w:r w:rsidR="006D47D4">
        <w:rPr>
          <w:rFonts w:ascii="Century Gothic" w:hAnsi="Century Gothic"/>
          <w:u w:val="single"/>
        </w:rPr>
        <w:t>)</w:t>
      </w:r>
    </w:p>
    <w:p w14:paraId="4D310883" w14:textId="6D206839" w:rsidR="00256EB3" w:rsidRPr="00321BB0" w:rsidRDefault="00256EB3" w:rsidP="00754EBD">
      <w:pPr>
        <w:pStyle w:val="NoSpacing"/>
        <w:jc w:val="both"/>
        <w:rPr>
          <w:rFonts w:ascii="Century Gothic" w:hAnsi="Century Gothic"/>
        </w:rPr>
      </w:pPr>
    </w:p>
    <w:p w14:paraId="1E289F4E" w14:textId="203F82BE" w:rsidR="00E10731" w:rsidRPr="00321BB0" w:rsidRDefault="00E10731" w:rsidP="00754EBD">
      <w:pPr>
        <w:pStyle w:val="NoSpacing"/>
        <w:jc w:val="both"/>
        <w:rPr>
          <w:rFonts w:ascii="Century Gothic" w:hAnsi="Century Gothic"/>
        </w:rPr>
      </w:pPr>
      <w:r w:rsidRPr="00321BB0">
        <w:rPr>
          <w:rFonts w:ascii="Century Gothic" w:hAnsi="Century Gothic"/>
        </w:rPr>
        <w:t xml:space="preserve">The Capital Allowance of </w:t>
      </w:r>
      <w:r w:rsidR="002D6B08">
        <w:rPr>
          <w:rFonts w:ascii="Century Gothic" w:hAnsi="Century Gothic"/>
        </w:rPr>
        <w:t>$</w:t>
      </w:r>
      <w:r w:rsidR="006D47D4">
        <w:rPr>
          <w:rFonts w:ascii="Century Gothic" w:hAnsi="Century Gothic"/>
        </w:rPr>
        <w:t>(</w:t>
      </w:r>
      <w:r w:rsidRPr="00321BB0">
        <w:rPr>
          <w:rFonts w:ascii="Century Gothic" w:hAnsi="Century Gothic"/>
        </w:rPr>
        <w:t>50,000</w:t>
      </w:r>
      <w:r w:rsidR="006D47D4">
        <w:rPr>
          <w:rFonts w:ascii="Century Gothic" w:hAnsi="Century Gothic"/>
        </w:rPr>
        <w:t>)</w:t>
      </w:r>
      <w:r w:rsidRPr="00321BB0">
        <w:rPr>
          <w:rFonts w:ascii="Century Gothic" w:hAnsi="Century Gothic"/>
        </w:rPr>
        <w:t xml:space="preserve"> is carried forward</w:t>
      </w:r>
      <w:r w:rsidR="00FE65A5" w:rsidRPr="00321BB0">
        <w:rPr>
          <w:rFonts w:ascii="Century Gothic" w:hAnsi="Century Gothic"/>
        </w:rPr>
        <w:t>.</w:t>
      </w:r>
    </w:p>
    <w:p w14:paraId="0ED19A37" w14:textId="148242D1" w:rsidR="00E337AB" w:rsidRPr="006B4C60" w:rsidRDefault="00E337AB" w:rsidP="00754EBD">
      <w:pPr>
        <w:pStyle w:val="NoSpacing"/>
        <w:jc w:val="both"/>
        <w:rPr>
          <w:rFonts w:ascii="Century Gothic" w:hAnsi="Century Gothic"/>
          <w:u w:val="single"/>
        </w:rPr>
      </w:pPr>
    </w:p>
    <w:p w14:paraId="644A0DB6" w14:textId="0DA39720" w:rsidR="006B4C60" w:rsidRPr="006B4C60" w:rsidRDefault="006B4C60" w:rsidP="00754EBD">
      <w:pPr>
        <w:pStyle w:val="NoSpacing"/>
        <w:jc w:val="both"/>
        <w:rPr>
          <w:rFonts w:ascii="Century Gothic" w:hAnsi="Century Gothic"/>
          <w:b/>
          <w:u w:val="single"/>
        </w:rPr>
      </w:pPr>
      <w:r w:rsidRPr="006B4C60">
        <w:rPr>
          <w:rFonts w:ascii="Century Gothic" w:hAnsi="Century Gothic"/>
          <w:b/>
          <w:u w:val="single"/>
        </w:rPr>
        <w:t>Illustration 4</w:t>
      </w:r>
    </w:p>
    <w:p w14:paraId="30B36C47" w14:textId="77777777" w:rsidR="006B4C60" w:rsidRDefault="006B4C60" w:rsidP="00754EBD">
      <w:pPr>
        <w:pStyle w:val="NoSpacing"/>
        <w:jc w:val="both"/>
        <w:rPr>
          <w:rFonts w:ascii="Century Gothic" w:hAnsi="Century Gothic"/>
        </w:rPr>
      </w:pPr>
    </w:p>
    <w:p w14:paraId="37082B53" w14:textId="0C4BA49E" w:rsidR="006B4C60" w:rsidRDefault="00C73C81" w:rsidP="00754EBD">
      <w:pPr>
        <w:pStyle w:val="NoSpacing"/>
        <w:jc w:val="both"/>
        <w:rPr>
          <w:rFonts w:ascii="Century Gothic" w:hAnsi="Century Gothic"/>
        </w:rPr>
      </w:pPr>
      <w:r>
        <w:rPr>
          <w:rFonts w:ascii="Century Gothic" w:hAnsi="Century Gothic"/>
        </w:rPr>
        <w:t>In a hypothetical situation</w:t>
      </w:r>
      <w:r w:rsidR="009F450C">
        <w:rPr>
          <w:rFonts w:ascii="Century Gothic" w:hAnsi="Century Gothic"/>
        </w:rPr>
        <w:t>,</w:t>
      </w:r>
      <w:r>
        <w:rPr>
          <w:rFonts w:ascii="Century Gothic" w:hAnsi="Century Gothic"/>
        </w:rPr>
        <w:t xml:space="preserve"> where an admissible Business Interruption insurance claim on depreciation</w:t>
      </w:r>
      <w:r w:rsidR="009F450C">
        <w:rPr>
          <w:rFonts w:ascii="Century Gothic" w:hAnsi="Century Gothic"/>
        </w:rPr>
        <w:t xml:space="preserve"> arises along the following scenario, </w:t>
      </w:r>
      <w:r>
        <w:rPr>
          <w:rFonts w:ascii="Century Gothic" w:hAnsi="Century Gothic"/>
        </w:rPr>
        <w:t xml:space="preserve">the CA </w:t>
      </w:r>
      <w:r w:rsidR="009F450C">
        <w:rPr>
          <w:rFonts w:ascii="Century Gothic" w:hAnsi="Century Gothic"/>
        </w:rPr>
        <w:t xml:space="preserve">would </w:t>
      </w:r>
      <w:r>
        <w:rPr>
          <w:rFonts w:ascii="Century Gothic" w:hAnsi="Century Gothic"/>
        </w:rPr>
        <w:t>operate within the ambit of the ITA 196</w:t>
      </w:r>
      <w:r w:rsidR="009F450C">
        <w:rPr>
          <w:rFonts w:ascii="Century Gothic" w:hAnsi="Century Gothic"/>
        </w:rPr>
        <w:t xml:space="preserve">7 as demonstrated </w:t>
      </w:r>
      <w:r w:rsidR="008B224F">
        <w:rPr>
          <w:rFonts w:ascii="Century Gothic" w:hAnsi="Century Gothic"/>
        </w:rPr>
        <w:t>below</w:t>
      </w:r>
      <w:r w:rsidR="009F450C">
        <w:rPr>
          <w:rFonts w:ascii="Century Gothic" w:hAnsi="Century Gothic"/>
        </w:rPr>
        <w:t>.</w:t>
      </w:r>
    </w:p>
    <w:p w14:paraId="1AFA537E" w14:textId="1061B822" w:rsidR="009F450C" w:rsidRDefault="009F450C" w:rsidP="00754EBD">
      <w:pPr>
        <w:pStyle w:val="NoSpacing"/>
        <w:jc w:val="both"/>
        <w:rPr>
          <w:rFonts w:ascii="Century Gothic" w:hAnsi="Century Gothic"/>
        </w:rPr>
      </w:pPr>
    </w:p>
    <w:p w14:paraId="0FE19C0A" w14:textId="00F73EE5" w:rsidR="009F450C" w:rsidRPr="009F450C" w:rsidRDefault="009F450C" w:rsidP="00754EBD">
      <w:pPr>
        <w:pStyle w:val="NoSpacing"/>
        <w:jc w:val="both"/>
        <w:rPr>
          <w:rFonts w:ascii="Century Gothic" w:hAnsi="Century Gothic"/>
          <w:u w:val="single"/>
        </w:rPr>
      </w:pPr>
      <w:r w:rsidRPr="009F450C">
        <w:rPr>
          <w:rFonts w:ascii="Century Gothic" w:hAnsi="Century Gothic"/>
          <w:u w:val="single"/>
        </w:rPr>
        <w:t>Scenario</w:t>
      </w:r>
    </w:p>
    <w:p w14:paraId="07529F16" w14:textId="77777777" w:rsidR="006B4C60" w:rsidRDefault="006B4C60" w:rsidP="00754EBD">
      <w:pPr>
        <w:pStyle w:val="NoSpacing"/>
        <w:jc w:val="both"/>
        <w:rPr>
          <w:rFonts w:ascii="Century Gothic" w:hAnsi="Century Gothic"/>
        </w:rPr>
      </w:pPr>
    </w:p>
    <w:p w14:paraId="6FFB6CB3" w14:textId="4A473F2A" w:rsidR="009F450C" w:rsidRDefault="009F450C" w:rsidP="00754EBD">
      <w:pPr>
        <w:pStyle w:val="NoSpacing"/>
        <w:numPr>
          <w:ilvl w:val="0"/>
          <w:numId w:val="5"/>
        </w:numPr>
        <w:jc w:val="both"/>
        <w:rPr>
          <w:rFonts w:ascii="Century Gothic" w:hAnsi="Century Gothic"/>
        </w:rPr>
      </w:pPr>
      <w:r>
        <w:rPr>
          <w:rFonts w:ascii="Century Gothic" w:hAnsi="Century Gothic"/>
        </w:rPr>
        <w:t>Company A purchased a machine</w:t>
      </w:r>
      <w:r w:rsidR="00AE5F4E">
        <w:rPr>
          <w:rFonts w:ascii="Century Gothic" w:hAnsi="Century Gothic"/>
        </w:rPr>
        <w:t xml:space="preserve"> </w:t>
      </w:r>
      <w:r w:rsidR="00A40910">
        <w:rPr>
          <w:rFonts w:ascii="Century Gothic" w:hAnsi="Century Gothic"/>
        </w:rPr>
        <w:t xml:space="preserve">(asset) for </w:t>
      </w:r>
      <w:r w:rsidR="002D6B08">
        <w:rPr>
          <w:rFonts w:ascii="Century Gothic" w:hAnsi="Century Gothic"/>
        </w:rPr>
        <w:t>$</w:t>
      </w:r>
      <w:r w:rsidR="00A40910">
        <w:rPr>
          <w:rFonts w:ascii="Century Gothic" w:hAnsi="Century Gothic"/>
        </w:rPr>
        <w:t>100,000/-</w:t>
      </w:r>
    </w:p>
    <w:p w14:paraId="1C685DB4" w14:textId="5B784870" w:rsidR="009F450C" w:rsidRDefault="00A40910" w:rsidP="00754EBD">
      <w:pPr>
        <w:pStyle w:val="NoSpacing"/>
        <w:numPr>
          <w:ilvl w:val="0"/>
          <w:numId w:val="5"/>
        </w:numPr>
        <w:jc w:val="both"/>
        <w:rPr>
          <w:rFonts w:ascii="Century Gothic" w:hAnsi="Century Gothic"/>
        </w:rPr>
      </w:pPr>
      <w:r>
        <w:rPr>
          <w:rFonts w:ascii="Century Gothic" w:hAnsi="Century Gothic"/>
        </w:rPr>
        <w:t>Company A effected a Business Interruption insurance policy on Gross Profit.</w:t>
      </w:r>
    </w:p>
    <w:p w14:paraId="5C5C3811" w14:textId="3F0B475E" w:rsidR="004240A3" w:rsidRDefault="00E5038C" w:rsidP="00754EBD">
      <w:pPr>
        <w:pStyle w:val="NoSpacing"/>
        <w:ind w:left="360"/>
        <w:jc w:val="both"/>
        <w:rPr>
          <w:rFonts w:ascii="Century Gothic" w:hAnsi="Century Gothic"/>
        </w:rPr>
      </w:pPr>
      <w:r>
        <w:rPr>
          <w:rFonts w:ascii="Century Gothic" w:hAnsi="Century Gothic"/>
        </w:rPr>
        <w:lastRenderedPageBreak/>
        <w:t xml:space="preserve">-  </w:t>
      </w:r>
      <w:r w:rsidR="00A40910">
        <w:rPr>
          <w:rFonts w:ascii="Century Gothic" w:hAnsi="Century Gothic"/>
        </w:rPr>
        <w:t xml:space="preserve"> </w:t>
      </w:r>
      <w:r>
        <w:rPr>
          <w:rFonts w:ascii="Century Gothic" w:hAnsi="Century Gothic"/>
        </w:rPr>
        <w:t xml:space="preserve">  </w:t>
      </w:r>
      <w:r w:rsidR="00410512">
        <w:rPr>
          <w:rFonts w:ascii="Century Gothic" w:hAnsi="Century Gothic"/>
        </w:rPr>
        <w:t xml:space="preserve">In the </w:t>
      </w:r>
      <w:r>
        <w:rPr>
          <w:rFonts w:ascii="Century Gothic" w:hAnsi="Century Gothic"/>
        </w:rPr>
        <w:t>First</w:t>
      </w:r>
      <w:r w:rsidR="00410512">
        <w:rPr>
          <w:rFonts w:ascii="Century Gothic" w:hAnsi="Century Gothic"/>
        </w:rPr>
        <w:t xml:space="preserve"> year, </w:t>
      </w:r>
      <w:r>
        <w:rPr>
          <w:rFonts w:ascii="Century Gothic" w:hAnsi="Century Gothic"/>
        </w:rPr>
        <w:t xml:space="preserve">the Qualifying Capital Expenditure (QCR) of </w:t>
      </w:r>
      <w:r w:rsidR="002D6B08">
        <w:rPr>
          <w:rFonts w:ascii="Century Gothic" w:hAnsi="Century Gothic"/>
        </w:rPr>
        <w:t>$</w:t>
      </w:r>
      <w:r>
        <w:rPr>
          <w:rFonts w:ascii="Century Gothic" w:hAnsi="Century Gothic"/>
        </w:rPr>
        <w:t xml:space="preserve">100,000/- </w:t>
      </w:r>
    </w:p>
    <w:p w14:paraId="79827094" w14:textId="50CDD2C3" w:rsidR="004240A3" w:rsidRDefault="004240A3" w:rsidP="00754EBD">
      <w:pPr>
        <w:pStyle w:val="NoSpacing"/>
        <w:ind w:left="360"/>
        <w:jc w:val="both"/>
        <w:rPr>
          <w:rFonts w:ascii="Century Gothic" w:hAnsi="Century Gothic"/>
        </w:rPr>
      </w:pPr>
      <w:r>
        <w:rPr>
          <w:rFonts w:ascii="Century Gothic" w:hAnsi="Century Gothic"/>
        </w:rPr>
        <w:t xml:space="preserve">      </w:t>
      </w:r>
      <w:r w:rsidR="0075517D">
        <w:rPr>
          <w:rFonts w:ascii="Century Gothic" w:hAnsi="Century Gothic"/>
        </w:rPr>
        <w:t>w</w:t>
      </w:r>
      <w:r w:rsidR="00E5038C">
        <w:rPr>
          <w:rFonts w:ascii="Century Gothic" w:hAnsi="Century Gothic"/>
        </w:rPr>
        <w:t>ould</w:t>
      </w:r>
      <w:r>
        <w:rPr>
          <w:rFonts w:ascii="Century Gothic" w:hAnsi="Century Gothic"/>
        </w:rPr>
        <w:t xml:space="preserve"> </w:t>
      </w:r>
      <w:r w:rsidR="00E5038C">
        <w:rPr>
          <w:rFonts w:ascii="Century Gothic" w:hAnsi="Century Gothic"/>
        </w:rPr>
        <w:t xml:space="preserve">be subjected to a deduction of </w:t>
      </w:r>
      <w:r w:rsidR="002D6B08">
        <w:rPr>
          <w:rFonts w:ascii="Century Gothic" w:hAnsi="Century Gothic"/>
        </w:rPr>
        <w:t>$</w:t>
      </w:r>
      <w:r w:rsidR="00E5038C">
        <w:rPr>
          <w:rFonts w:ascii="Century Gothic" w:hAnsi="Century Gothic"/>
        </w:rPr>
        <w:t>20,000/- for Initial Allowance and</w:t>
      </w:r>
    </w:p>
    <w:p w14:paraId="595F6295" w14:textId="64125926" w:rsidR="009F450C" w:rsidRDefault="004240A3" w:rsidP="00754EBD">
      <w:pPr>
        <w:pStyle w:val="NoSpacing"/>
        <w:ind w:left="360"/>
        <w:jc w:val="both"/>
        <w:rPr>
          <w:rFonts w:ascii="Century Gothic" w:hAnsi="Century Gothic"/>
        </w:rPr>
      </w:pPr>
      <w:r>
        <w:rPr>
          <w:rFonts w:ascii="Century Gothic" w:hAnsi="Century Gothic"/>
        </w:rPr>
        <w:t xml:space="preserve">     </w:t>
      </w:r>
      <w:r w:rsidR="00E5038C">
        <w:rPr>
          <w:rFonts w:ascii="Century Gothic" w:hAnsi="Century Gothic"/>
        </w:rPr>
        <w:t xml:space="preserve"> Annual</w:t>
      </w:r>
      <w:r>
        <w:rPr>
          <w:rFonts w:ascii="Century Gothic" w:hAnsi="Century Gothic"/>
        </w:rPr>
        <w:t xml:space="preserve"> </w:t>
      </w:r>
      <w:r w:rsidR="00E5038C">
        <w:rPr>
          <w:rFonts w:ascii="Century Gothic" w:hAnsi="Century Gothic"/>
        </w:rPr>
        <w:t>Allowance.</w:t>
      </w:r>
    </w:p>
    <w:p w14:paraId="6B2DCC37" w14:textId="3629FE84" w:rsidR="004240A3" w:rsidRDefault="00E5038C" w:rsidP="00754EBD">
      <w:pPr>
        <w:pStyle w:val="NoSpacing"/>
        <w:jc w:val="both"/>
        <w:rPr>
          <w:rFonts w:ascii="Century Gothic" w:hAnsi="Century Gothic"/>
        </w:rPr>
      </w:pPr>
      <w:r>
        <w:rPr>
          <w:rFonts w:ascii="Century Gothic" w:hAnsi="Century Gothic"/>
        </w:rPr>
        <w:t xml:space="preserve">    </w:t>
      </w:r>
      <w:r w:rsidR="00754EBD">
        <w:rPr>
          <w:rFonts w:ascii="Century Gothic" w:hAnsi="Century Gothic"/>
        </w:rPr>
        <w:t xml:space="preserve"> </w:t>
      </w:r>
      <w:r>
        <w:rPr>
          <w:rFonts w:ascii="Century Gothic" w:hAnsi="Century Gothic"/>
        </w:rPr>
        <w:t xml:space="preserve"> -     </w:t>
      </w:r>
      <w:r w:rsidR="004240A3">
        <w:rPr>
          <w:rFonts w:ascii="Century Gothic" w:hAnsi="Century Gothic"/>
        </w:rPr>
        <w:t>Subsequently t</w:t>
      </w:r>
      <w:r>
        <w:rPr>
          <w:rFonts w:ascii="Century Gothic" w:hAnsi="Century Gothic"/>
        </w:rPr>
        <w:t>here is a fire outbreak at the factory partially damaging the</w:t>
      </w:r>
    </w:p>
    <w:p w14:paraId="51598297" w14:textId="52F6407F" w:rsidR="009F450C" w:rsidRDefault="004240A3" w:rsidP="00754EBD">
      <w:pPr>
        <w:pStyle w:val="NoSpacing"/>
        <w:jc w:val="both"/>
        <w:rPr>
          <w:rFonts w:ascii="Century Gothic" w:hAnsi="Century Gothic"/>
        </w:rPr>
      </w:pPr>
      <w:r>
        <w:rPr>
          <w:rFonts w:ascii="Century Gothic" w:hAnsi="Century Gothic"/>
        </w:rPr>
        <w:t xml:space="preserve">           </w:t>
      </w:r>
      <w:r w:rsidR="00E5038C">
        <w:rPr>
          <w:rFonts w:ascii="Century Gothic" w:hAnsi="Century Gothic"/>
        </w:rPr>
        <w:t xml:space="preserve"> machine.</w:t>
      </w:r>
    </w:p>
    <w:p w14:paraId="3293F76D" w14:textId="0415D0F2" w:rsidR="009F450C" w:rsidRDefault="004240A3" w:rsidP="00754EBD">
      <w:pPr>
        <w:pStyle w:val="NoSpacing"/>
        <w:jc w:val="both"/>
        <w:rPr>
          <w:rFonts w:ascii="Century Gothic" w:hAnsi="Century Gothic"/>
        </w:rPr>
      </w:pPr>
      <w:r>
        <w:rPr>
          <w:rFonts w:ascii="Century Gothic" w:hAnsi="Century Gothic"/>
        </w:rPr>
        <w:t xml:space="preserve">    </w:t>
      </w:r>
      <w:r w:rsidR="00754EBD">
        <w:rPr>
          <w:rFonts w:ascii="Century Gothic" w:hAnsi="Century Gothic"/>
        </w:rPr>
        <w:t xml:space="preserve"> </w:t>
      </w:r>
      <w:r>
        <w:rPr>
          <w:rFonts w:ascii="Century Gothic" w:hAnsi="Century Gothic"/>
        </w:rPr>
        <w:t xml:space="preserve"> -     Deprec</w:t>
      </w:r>
      <w:r w:rsidR="00754EBD">
        <w:rPr>
          <w:rFonts w:ascii="Century Gothic" w:hAnsi="Century Gothic"/>
        </w:rPr>
        <w:t>i</w:t>
      </w:r>
      <w:r>
        <w:rPr>
          <w:rFonts w:ascii="Century Gothic" w:hAnsi="Century Gothic"/>
        </w:rPr>
        <w:t>ation is listed as a standing charge in the BI policy.</w:t>
      </w:r>
    </w:p>
    <w:p w14:paraId="63750162" w14:textId="1AC2F20F" w:rsidR="004240A3" w:rsidRDefault="004240A3" w:rsidP="004240A3">
      <w:pPr>
        <w:pStyle w:val="NoSpacing"/>
        <w:jc w:val="both"/>
        <w:rPr>
          <w:rFonts w:ascii="Century Gothic" w:hAnsi="Century Gothic"/>
        </w:rPr>
      </w:pPr>
    </w:p>
    <w:p w14:paraId="43CCDAAD" w14:textId="4571B86A" w:rsidR="004240A3" w:rsidRPr="004240A3" w:rsidRDefault="004240A3" w:rsidP="004240A3">
      <w:pPr>
        <w:pStyle w:val="NoSpacing"/>
        <w:jc w:val="both"/>
        <w:rPr>
          <w:rFonts w:ascii="Century Gothic" w:hAnsi="Century Gothic"/>
          <w:u w:val="single"/>
        </w:rPr>
      </w:pPr>
      <w:r w:rsidRPr="004240A3">
        <w:rPr>
          <w:rFonts w:ascii="Century Gothic" w:hAnsi="Century Gothic"/>
          <w:u w:val="single"/>
        </w:rPr>
        <w:t>Capital Allowance under  ITA 1967</w:t>
      </w:r>
    </w:p>
    <w:p w14:paraId="06AA85A5" w14:textId="77777777" w:rsidR="004240A3" w:rsidRDefault="004240A3" w:rsidP="009F450C">
      <w:pPr>
        <w:pStyle w:val="NoSpacing"/>
        <w:jc w:val="both"/>
        <w:rPr>
          <w:rFonts w:ascii="Century Gothic" w:hAnsi="Century Gothic"/>
        </w:rPr>
      </w:pPr>
    </w:p>
    <w:p w14:paraId="194EA700" w14:textId="200E88F6" w:rsidR="009F450C" w:rsidRDefault="004240A3" w:rsidP="009F450C">
      <w:pPr>
        <w:pStyle w:val="NoSpacing"/>
        <w:jc w:val="both"/>
        <w:rPr>
          <w:rFonts w:ascii="Century Gothic" w:hAnsi="Century Gothic"/>
        </w:rPr>
      </w:pPr>
      <w:r>
        <w:rPr>
          <w:rFonts w:ascii="Century Gothic" w:hAnsi="Century Gothic"/>
        </w:rPr>
        <w:t xml:space="preserve">Capital Allowance and Insurance Recovery </w:t>
      </w:r>
      <w:r w:rsidR="006B395E">
        <w:rPr>
          <w:rFonts w:ascii="Century Gothic" w:hAnsi="Century Gothic"/>
        </w:rPr>
        <w:t xml:space="preserve">are separate issues, thus, </w:t>
      </w:r>
      <w:r>
        <w:rPr>
          <w:rFonts w:ascii="Century Gothic" w:hAnsi="Century Gothic"/>
        </w:rPr>
        <w:t xml:space="preserve">have to be viewed separately, then, merged at the end against the Residual Expenditure </w:t>
      </w:r>
      <w:r w:rsidR="006B395E">
        <w:rPr>
          <w:rFonts w:ascii="Century Gothic" w:hAnsi="Century Gothic"/>
        </w:rPr>
        <w:t>along the following scheme of arrangement</w:t>
      </w:r>
      <w:r>
        <w:rPr>
          <w:rFonts w:ascii="Century Gothic" w:hAnsi="Century Gothic"/>
        </w:rPr>
        <w:t>:</w:t>
      </w:r>
    </w:p>
    <w:p w14:paraId="603EE8D1" w14:textId="687694E2" w:rsidR="004240A3" w:rsidRDefault="004240A3" w:rsidP="009F450C">
      <w:pPr>
        <w:pStyle w:val="NoSpacing"/>
        <w:jc w:val="both"/>
        <w:rPr>
          <w:rFonts w:ascii="Century Gothic" w:hAnsi="Century Gothic"/>
        </w:rPr>
      </w:pPr>
    </w:p>
    <w:p w14:paraId="283A7EB7" w14:textId="4E9C38F1" w:rsidR="004240A3" w:rsidRDefault="004240A3" w:rsidP="00AC1A82">
      <w:pPr>
        <w:pStyle w:val="NoSpacing"/>
        <w:jc w:val="both"/>
        <w:rPr>
          <w:rFonts w:ascii="Century Gothic" w:hAnsi="Century Gothic"/>
        </w:rPr>
      </w:pPr>
      <w:r>
        <w:rPr>
          <w:rFonts w:ascii="Century Gothic" w:hAnsi="Century Gothic"/>
        </w:rPr>
        <w:t xml:space="preserve">Qualifying Capital Expenditure                    </w:t>
      </w:r>
      <w:r w:rsidR="002D6B08">
        <w:rPr>
          <w:rFonts w:ascii="Century Gothic" w:hAnsi="Century Gothic"/>
        </w:rPr>
        <w:t xml:space="preserve">  $</w:t>
      </w:r>
      <w:r>
        <w:rPr>
          <w:rFonts w:ascii="Century Gothic" w:hAnsi="Century Gothic"/>
        </w:rPr>
        <w:t xml:space="preserve"> </w:t>
      </w:r>
      <w:r w:rsidR="00210F68">
        <w:rPr>
          <w:rFonts w:ascii="Century Gothic" w:hAnsi="Century Gothic"/>
        </w:rPr>
        <w:t xml:space="preserve"> </w:t>
      </w:r>
      <w:r w:rsidR="002D6B08">
        <w:rPr>
          <w:rFonts w:ascii="Century Gothic" w:hAnsi="Century Gothic"/>
        </w:rPr>
        <w:t xml:space="preserve"> </w:t>
      </w:r>
      <w:r>
        <w:rPr>
          <w:rFonts w:ascii="Century Gothic" w:hAnsi="Century Gothic"/>
        </w:rPr>
        <w:t>100,000</w:t>
      </w:r>
    </w:p>
    <w:p w14:paraId="3E22BB83" w14:textId="558063E9" w:rsidR="004240A3" w:rsidRDefault="004240A3" w:rsidP="00AC1A82">
      <w:pPr>
        <w:pStyle w:val="NoSpacing"/>
        <w:jc w:val="both"/>
        <w:rPr>
          <w:rFonts w:ascii="Century Gothic" w:hAnsi="Century Gothic"/>
        </w:rPr>
      </w:pPr>
    </w:p>
    <w:p w14:paraId="3985BAE3" w14:textId="58183A5F" w:rsidR="004240A3" w:rsidRPr="00AC1A82" w:rsidRDefault="004240A3" w:rsidP="00AC1A82">
      <w:pPr>
        <w:pStyle w:val="NoSpacing"/>
        <w:jc w:val="both"/>
        <w:rPr>
          <w:rFonts w:ascii="Century Gothic" w:hAnsi="Century Gothic"/>
          <w:b/>
          <w:u w:val="single"/>
        </w:rPr>
      </w:pPr>
      <w:r w:rsidRPr="00AC1A82">
        <w:rPr>
          <w:rFonts w:ascii="Century Gothic" w:hAnsi="Century Gothic"/>
          <w:b/>
          <w:u w:val="single"/>
        </w:rPr>
        <w:t>First Ye</w:t>
      </w:r>
      <w:r w:rsidR="00AC1A82" w:rsidRPr="00AC1A82">
        <w:rPr>
          <w:rFonts w:ascii="Century Gothic" w:hAnsi="Century Gothic"/>
          <w:b/>
          <w:u w:val="single"/>
        </w:rPr>
        <w:t>ar</w:t>
      </w:r>
    </w:p>
    <w:p w14:paraId="3C730DD1" w14:textId="23178971" w:rsidR="004240A3" w:rsidRDefault="00AC1A82" w:rsidP="00AC1A82">
      <w:pPr>
        <w:pStyle w:val="NoSpacing"/>
        <w:jc w:val="both"/>
        <w:rPr>
          <w:rFonts w:ascii="Century Gothic" w:hAnsi="Century Gothic"/>
        </w:rPr>
      </w:pPr>
      <w:r>
        <w:rPr>
          <w:rFonts w:ascii="Century Gothic" w:hAnsi="Century Gothic"/>
        </w:rPr>
        <w:t>Initial Allowance                          RM20,000</w:t>
      </w:r>
    </w:p>
    <w:p w14:paraId="59007C35" w14:textId="52083DFB" w:rsidR="00AC1A82" w:rsidRPr="00AC1A82" w:rsidRDefault="00AC1A82" w:rsidP="00AC1A82">
      <w:pPr>
        <w:pStyle w:val="NoSpacing"/>
        <w:jc w:val="both"/>
        <w:rPr>
          <w:rFonts w:ascii="Century Gothic" w:hAnsi="Century Gothic"/>
        </w:rPr>
      </w:pPr>
      <w:r>
        <w:rPr>
          <w:rFonts w:ascii="Century Gothic" w:hAnsi="Century Gothic"/>
        </w:rPr>
        <w:t xml:space="preserve">Annual Allowance (20%)          </w:t>
      </w:r>
      <w:r w:rsidR="008F2564">
        <w:rPr>
          <w:rFonts w:ascii="Century Gothic" w:hAnsi="Century Gothic"/>
        </w:rPr>
        <w:t xml:space="preserve">  </w:t>
      </w:r>
      <w:r>
        <w:rPr>
          <w:rFonts w:ascii="Century Gothic" w:hAnsi="Century Gothic"/>
        </w:rPr>
        <w:t xml:space="preserve"> </w:t>
      </w:r>
      <w:r w:rsidRPr="00AC1A82">
        <w:rPr>
          <w:rFonts w:ascii="Century Gothic" w:hAnsi="Century Gothic"/>
          <w:u w:val="single"/>
        </w:rPr>
        <w:t xml:space="preserve">     20,000</w:t>
      </w:r>
      <w:r>
        <w:rPr>
          <w:rFonts w:ascii="Century Gothic" w:hAnsi="Century Gothic"/>
        </w:rPr>
        <w:t xml:space="preserve">      </w:t>
      </w:r>
      <w:r w:rsidRPr="00AC1A82">
        <w:rPr>
          <w:rFonts w:ascii="Century Gothic" w:hAnsi="Century Gothic"/>
          <w:u w:val="single"/>
        </w:rPr>
        <w:t xml:space="preserve">   </w:t>
      </w:r>
      <w:r>
        <w:rPr>
          <w:rFonts w:ascii="Century Gothic" w:hAnsi="Century Gothic"/>
          <w:u w:val="single"/>
        </w:rPr>
        <w:t>(</w:t>
      </w:r>
      <w:r w:rsidRPr="00AC1A82">
        <w:rPr>
          <w:rFonts w:ascii="Century Gothic" w:hAnsi="Century Gothic"/>
          <w:u w:val="single"/>
        </w:rPr>
        <w:t>40,000</w:t>
      </w:r>
      <w:r>
        <w:rPr>
          <w:rFonts w:ascii="Century Gothic" w:hAnsi="Century Gothic"/>
          <w:u w:val="single"/>
        </w:rPr>
        <w:t>)</w:t>
      </w:r>
      <w:r w:rsidRPr="00AC1A82">
        <w:rPr>
          <w:rFonts w:ascii="Century Gothic" w:hAnsi="Century Gothic"/>
          <w:u w:val="single"/>
        </w:rPr>
        <w:t xml:space="preserve">              </w:t>
      </w:r>
    </w:p>
    <w:p w14:paraId="2D70224C" w14:textId="074507DA" w:rsidR="00AC1A82" w:rsidRDefault="00AC1A82" w:rsidP="00AC1A82">
      <w:pPr>
        <w:pStyle w:val="NoSpacing"/>
        <w:jc w:val="both"/>
        <w:rPr>
          <w:rFonts w:ascii="Century Gothic" w:hAnsi="Century Gothic"/>
        </w:rPr>
      </w:pPr>
      <w:r>
        <w:rPr>
          <w:rFonts w:ascii="Century Gothic" w:hAnsi="Century Gothic"/>
        </w:rPr>
        <w:t>Residual Expenditure                                               60,000</w:t>
      </w:r>
    </w:p>
    <w:p w14:paraId="7E4AFAFA" w14:textId="1D8B3F49" w:rsidR="00AC1A82" w:rsidRDefault="00AC1A82" w:rsidP="00AC1A82">
      <w:pPr>
        <w:pStyle w:val="NoSpacing"/>
        <w:jc w:val="both"/>
        <w:rPr>
          <w:rFonts w:ascii="Century Gothic" w:hAnsi="Century Gothic"/>
        </w:rPr>
      </w:pPr>
    </w:p>
    <w:p w14:paraId="02078DBE" w14:textId="0ABDD231" w:rsidR="00AC1A82" w:rsidRPr="00AC1A82" w:rsidRDefault="00AC1A82" w:rsidP="00AC1A82">
      <w:pPr>
        <w:pStyle w:val="NoSpacing"/>
        <w:jc w:val="both"/>
        <w:rPr>
          <w:rFonts w:ascii="Century Gothic" w:hAnsi="Century Gothic"/>
          <w:b/>
          <w:u w:val="single"/>
        </w:rPr>
      </w:pPr>
      <w:r w:rsidRPr="00AC1A82">
        <w:rPr>
          <w:rFonts w:ascii="Century Gothic" w:hAnsi="Century Gothic"/>
          <w:b/>
          <w:u w:val="single"/>
        </w:rPr>
        <w:t>Second Year</w:t>
      </w:r>
    </w:p>
    <w:p w14:paraId="7981C4B7" w14:textId="4582412F" w:rsidR="00AC1A82" w:rsidRDefault="00AC1A82" w:rsidP="00AC1A82">
      <w:pPr>
        <w:pStyle w:val="NoSpacing"/>
        <w:jc w:val="both"/>
        <w:rPr>
          <w:rFonts w:ascii="Century Gothic" w:hAnsi="Century Gothic"/>
        </w:rPr>
      </w:pPr>
      <w:r>
        <w:rPr>
          <w:rFonts w:ascii="Century Gothic" w:hAnsi="Century Gothic"/>
        </w:rPr>
        <w:t xml:space="preserve">Less; Insurance Compensation                           </w:t>
      </w:r>
      <w:r w:rsidRPr="00AC1A82">
        <w:rPr>
          <w:rFonts w:ascii="Century Gothic" w:hAnsi="Century Gothic"/>
          <w:u w:val="single"/>
        </w:rPr>
        <w:t xml:space="preserve">  </w:t>
      </w:r>
      <w:r>
        <w:rPr>
          <w:rFonts w:ascii="Century Gothic" w:hAnsi="Century Gothic"/>
          <w:u w:val="single"/>
        </w:rPr>
        <w:t>(</w:t>
      </w:r>
      <w:r w:rsidRPr="00AC1A82">
        <w:rPr>
          <w:rFonts w:ascii="Century Gothic" w:hAnsi="Century Gothic"/>
          <w:u w:val="single"/>
        </w:rPr>
        <w:t>10,000</w:t>
      </w:r>
      <w:r>
        <w:rPr>
          <w:rFonts w:ascii="Century Gothic" w:hAnsi="Century Gothic"/>
          <w:u w:val="single"/>
        </w:rPr>
        <w:t>)</w:t>
      </w:r>
    </w:p>
    <w:p w14:paraId="6672CDFA" w14:textId="753EE9E0" w:rsidR="00AC1A82" w:rsidRDefault="00AC1A82" w:rsidP="009F450C">
      <w:pPr>
        <w:pStyle w:val="NoSpacing"/>
        <w:jc w:val="both"/>
        <w:rPr>
          <w:rFonts w:ascii="Century Gothic" w:hAnsi="Century Gothic"/>
        </w:rPr>
      </w:pPr>
      <w:r>
        <w:rPr>
          <w:rFonts w:ascii="Century Gothic" w:hAnsi="Century Gothic"/>
        </w:rPr>
        <w:t>Residual Expenditure carried forward                   50,000</w:t>
      </w:r>
    </w:p>
    <w:p w14:paraId="099F32FC" w14:textId="3B73A3B8" w:rsidR="00AC1A82" w:rsidRDefault="00AC1A82" w:rsidP="009F450C">
      <w:pPr>
        <w:pStyle w:val="NoSpacing"/>
        <w:jc w:val="both"/>
        <w:rPr>
          <w:rFonts w:ascii="Century Gothic" w:hAnsi="Century Gothic"/>
        </w:rPr>
      </w:pPr>
    </w:p>
    <w:p w14:paraId="5E5CB032" w14:textId="6ED4F00C" w:rsidR="00AC1A82" w:rsidRDefault="00AC1A82" w:rsidP="009F450C">
      <w:pPr>
        <w:pStyle w:val="NoSpacing"/>
        <w:jc w:val="both"/>
        <w:rPr>
          <w:rFonts w:ascii="Century Gothic" w:hAnsi="Century Gothic"/>
        </w:rPr>
      </w:pPr>
      <w:r>
        <w:rPr>
          <w:rFonts w:ascii="Century Gothic" w:hAnsi="Century Gothic"/>
        </w:rPr>
        <w:t xml:space="preserve">Less: Annual Allowance                                       </w:t>
      </w:r>
      <w:r w:rsidRPr="00AC1A82">
        <w:rPr>
          <w:rFonts w:ascii="Century Gothic" w:hAnsi="Century Gothic"/>
          <w:u w:val="single"/>
        </w:rPr>
        <w:t xml:space="preserve">  (20,000)</w:t>
      </w:r>
    </w:p>
    <w:p w14:paraId="1E4CA193" w14:textId="71E6B7E1" w:rsidR="00AC1A82" w:rsidRDefault="00AC1A82" w:rsidP="009F450C">
      <w:pPr>
        <w:pStyle w:val="NoSpacing"/>
        <w:jc w:val="both"/>
        <w:rPr>
          <w:rFonts w:ascii="Century Gothic" w:hAnsi="Century Gothic"/>
        </w:rPr>
      </w:pPr>
      <w:r>
        <w:rPr>
          <w:rFonts w:ascii="Century Gothic" w:hAnsi="Century Gothic"/>
        </w:rPr>
        <w:t>Residual Expenditure carried forward                   30,000</w:t>
      </w:r>
    </w:p>
    <w:p w14:paraId="3B29339E" w14:textId="36ADF80F" w:rsidR="00AC1A82" w:rsidRDefault="00AC1A82" w:rsidP="009F450C">
      <w:pPr>
        <w:pStyle w:val="NoSpacing"/>
        <w:jc w:val="both"/>
        <w:rPr>
          <w:rFonts w:ascii="Century Gothic" w:hAnsi="Century Gothic"/>
        </w:rPr>
      </w:pPr>
    </w:p>
    <w:p w14:paraId="4B12321D" w14:textId="2FA24906" w:rsidR="00AC1A82" w:rsidRPr="00AC1A82" w:rsidRDefault="00AC1A82" w:rsidP="009F450C">
      <w:pPr>
        <w:pStyle w:val="NoSpacing"/>
        <w:jc w:val="both"/>
        <w:rPr>
          <w:rFonts w:ascii="Century Gothic" w:hAnsi="Century Gothic"/>
          <w:b/>
          <w:u w:val="single"/>
        </w:rPr>
      </w:pPr>
      <w:r w:rsidRPr="00AC1A82">
        <w:rPr>
          <w:rFonts w:ascii="Century Gothic" w:hAnsi="Century Gothic"/>
          <w:b/>
          <w:u w:val="single"/>
        </w:rPr>
        <w:t>Third Year</w:t>
      </w:r>
    </w:p>
    <w:p w14:paraId="2C984D24" w14:textId="622FC8AB" w:rsidR="00AC1A82" w:rsidRDefault="00AC1A82" w:rsidP="009F450C">
      <w:pPr>
        <w:pStyle w:val="NoSpacing"/>
        <w:jc w:val="both"/>
        <w:rPr>
          <w:rFonts w:ascii="Century Gothic" w:hAnsi="Century Gothic"/>
        </w:rPr>
      </w:pPr>
      <w:r>
        <w:rPr>
          <w:rFonts w:ascii="Century Gothic" w:hAnsi="Century Gothic"/>
        </w:rPr>
        <w:t xml:space="preserve">Less: Annual Allowance                                       </w:t>
      </w:r>
      <w:r w:rsidRPr="00CF2912">
        <w:rPr>
          <w:rFonts w:ascii="Century Gothic" w:hAnsi="Century Gothic"/>
          <w:u w:val="single"/>
        </w:rPr>
        <w:t xml:space="preserve">   (20,000</w:t>
      </w:r>
      <w:r w:rsidR="00CF2912" w:rsidRPr="00CF2912">
        <w:rPr>
          <w:rFonts w:ascii="Century Gothic" w:hAnsi="Century Gothic"/>
          <w:u w:val="single"/>
        </w:rPr>
        <w:t>)</w:t>
      </w:r>
    </w:p>
    <w:p w14:paraId="7E166713" w14:textId="1629A75A" w:rsidR="00AC1A82" w:rsidRDefault="00CF2912" w:rsidP="009F450C">
      <w:pPr>
        <w:pStyle w:val="NoSpacing"/>
        <w:jc w:val="both"/>
        <w:rPr>
          <w:rFonts w:ascii="Century Gothic" w:hAnsi="Century Gothic"/>
        </w:rPr>
      </w:pPr>
      <w:r>
        <w:rPr>
          <w:rFonts w:ascii="Century Gothic" w:hAnsi="Century Gothic"/>
        </w:rPr>
        <w:t>Residual Expenditu</w:t>
      </w:r>
      <w:r w:rsidR="00AB47F5">
        <w:rPr>
          <w:rFonts w:ascii="Century Gothic" w:hAnsi="Century Gothic"/>
        </w:rPr>
        <w:t>re</w:t>
      </w:r>
      <w:r>
        <w:rPr>
          <w:rFonts w:ascii="Century Gothic" w:hAnsi="Century Gothic"/>
        </w:rPr>
        <w:t xml:space="preserve"> carried forward                    10,000</w:t>
      </w:r>
    </w:p>
    <w:p w14:paraId="495E7D3E" w14:textId="48F78C3D" w:rsidR="00CF2912" w:rsidRDefault="00CF2912" w:rsidP="009F450C">
      <w:pPr>
        <w:pStyle w:val="NoSpacing"/>
        <w:jc w:val="both"/>
        <w:rPr>
          <w:rFonts w:ascii="Century Gothic" w:hAnsi="Century Gothic"/>
        </w:rPr>
      </w:pPr>
    </w:p>
    <w:p w14:paraId="5BCBDC65" w14:textId="524656A9" w:rsidR="00CF2912" w:rsidRPr="00CF2912" w:rsidRDefault="00CF2912" w:rsidP="009F450C">
      <w:pPr>
        <w:pStyle w:val="NoSpacing"/>
        <w:jc w:val="both"/>
        <w:rPr>
          <w:rFonts w:ascii="Century Gothic" w:hAnsi="Century Gothic"/>
          <w:b/>
          <w:u w:val="single"/>
        </w:rPr>
      </w:pPr>
      <w:r w:rsidRPr="00CF2912">
        <w:rPr>
          <w:rFonts w:ascii="Century Gothic" w:hAnsi="Century Gothic"/>
          <w:b/>
          <w:u w:val="single"/>
        </w:rPr>
        <w:t>Fourth Year</w:t>
      </w:r>
    </w:p>
    <w:p w14:paraId="2DF522C2" w14:textId="2F3FFC11" w:rsidR="00AC1A82" w:rsidRDefault="00CF2912" w:rsidP="009F450C">
      <w:pPr>
        <w:pStyle w:val="NoSpacing"/>
        <w:jc w:val="both"/>
        <w:rPr>
          <w:rFonts w:ascii="Century Gothic" w:hAnsi="Century Gothic"/>
        </w:rPr>
      </w:pPr>
      <w:r>
        <w:rPr>
          <w:rFonts w:ascii="Century Gothic" w:hAnsi="Century Gothic"/>
        </w:rPr>
        <w:t xml:space="preserve">Less: Annual Allowance                                        </w:t>
      </w:r>
      <w:r w:rsidRPr="00CF2912">
        <w:rPr>
          <w:rFonts w:ascii="Century Gothic" w:hAnsi="Century Gothic"/>
          <w:u w:val="single"/>
        </w:rPr>
        <w:t xml:space="preserve">   (10,000)</w:t>
      </w:r>
    </w:p>
    <w:p w14:paraId="43CDBD4C" w14:textId="1CDC746B" w:rsidR="00CF2912" w:rsidRDefault="00CF2912" w:rsidP="009F450C">
      <w:pPr>
        <w:pStyle w:val="NoSpacing"/>
        <w:jc w:val="both"/>
        <w:rPr>
          <w:rFonts w:ascii="Century Gothic" w:hAnsi="Century Gothic"/>
          <w:u w:val="single"/>
        </w:rPr>
      </w:pPr>
      <w:r>
        <w:rPr>
          <w:rFonts w:ascii="Century Gothic" w:hAnsi="Century Gothic"/>
        </w:rPr>
        <w:t xml:space="preserve">                                                                                  </w:t>
      </w:r>
      <w:r w:rsidRPr="00CF2912">
        <w:rPr>
          <w:rFonts w:ascii="Century Gothic" w:hAnsi="Century Gothic"/>
          <w:u w:val="single"/>
        </w:rPr>
        <w:t xml:space="preserve">       NIL</w:t>
      </w:r>
      <w:r>
        <w:rPr>
          <w:rFonts w:ascii="Century Gothic" w:hAnsi="Century Gothic"/>
          <w:u w:val="single"/>
        </w:rPr>
        <w:t>__</w:t>
      </w:r>
    </w:p>
    <w:p w14:paraId="506AFA92" w14:textId="791008F8" w:rsidR="00CF2912" w:rsidRDefault="00CF2912" w:rsidP="009F450C">
      <w:pPr>
        <w:pStyle w:val="NoSpacing"/>
        <w:jc w:val="both"/>
        <w:rPr>
          <w:rFonts w:ascii="Century Gothic" w:hAnsi="Century Gothic"/>
          <w:u w:val="single"/>
        </w:rPr>
      </w:pPr>
    </w:p>
    <w:p w14:paraId="7735143E" w14:textId="70DD9215" w:rsidR="00CF2912" w:rsidRPr="00CF2912" w:rsidRDefault="00CF2912" w:rsidP="0075517D">
      <w:pPr>
        <w:pStyle w:val="NoSpacing"/>
        <w:jc w:val="both"/>
        <w:rPr>
          <w:rFonts w:ascii="Century Gothic" w:hAnsi="Century Gothic"/>
        </w:rPr>
      </w:pPr>
      <w:r w:rsidRPr="00CF2912">
        <w:rPr>
          <w:rFonts w:ascii="Century Gothic" w:hAnsi="Century Gothic"/>
        </w:rPr>
        <w:t>Annual Allowance is a statutory fixated amount</w:t>
      </w:r>
      <w:r>
        <w:rPr>
          <w:rFonts w:ascii="Century Gothic" w:hAnsi="Century Gothic"/>
        </w:rPr>
        <w:t xml:space="preserve"> designed for granti</w:t>
      </w:r>
      <w:r w:rsidR="0075517D">
        <w:rPr>
          <w:rFonts w:ascii="Century Gothic" w:hAnsi="Century Gothic"/>
        </w:rPr>
        <w:t xml:space="preserve">ng </w:t>
      </w:r>
      <w:r>
        <w:rPr>
          <w:rFonts w:ascii="Century Gothic" w:hAnsi="Century Gothic"/>
        </w:rPr>
        <w:t>Capita</w:t>
      </w:r>
      <w:r w:rsidR="0075517D">
        <w:rPr>
          <w:rFonts w:ascii="Century Gothic" w:hAnsi="Century Gothic"/>
        </w:rPr>
        <w:t xml:space="preserve">l </w:t>
      </w:r>
      <w:r>
        <w:rPr>
          <w:rFonts w:ascii="Century Gothic" w:hAnsi="Century Gothic"/>
        </w:rPr>
        <w:t>Allowance and is not based on the life span of the asset.</w:t>
      </w:r>
    </w:p>
    <w:p w14:paraId="69779EF2" w14:textId="77777777" w:rsidR="00CF2912" w:rsidRDefault="00CF2912" w:rsidP="0075517D">
      <w:pPr>
        <w:pStyle w:val="NoSpacing"/>
        <w:jc w:val="both"/>
        <w:rPr>
          <w:rFonts w:ascii="Century Gothic" w:hAnsi="Century Gothic"/>
        </w:rPr>
      </w:pPr>
    </w:p>
    <w:p w14:paraId="12747AA6" w14:textId="30312C27" w:rsidR="008F4A6F" w:rsidRDefault="00456292" w:rsidP="0075517D">
      <w:pPr>
        <w:pStyle w:val="NoSpacing"/>
        <w:jc w:val="both"/>
        <w:rPr>
          <w:rFonts w:ascii="Century Gothic" w:hAnsi="Century Gothic"/>
        </w:rPr>
      </w:pPr>
      <w:r>
        <w:rPr>
          <w:rFonts w:ascii="Century Gothic" w:hAnsi="Century Gothic"/>
        </w:rPr>
        <w:t>Basically, the CA is a</w:t>
      </w:r>
      <w:r w:rsidR="00C520EA">
        <w:rPr>
          <w:rFonts w:ascii="Century Gothic" w:hAnsi="Century Gothic"/>
        </w:rPr>
        <w:t xml:space="preserve"> specie of</w:t>
      </w:r>
      <w:r>
        <w:rPr>
          <w:rFonts w:ascii="Century Gothic" w:hAnsi="Century Gothic"/>
        </w:rPr>
        <w:t xml:space="preserve"> </w:t>
      </w:r>
      <w:r w:rsidR="005036AA">
        <w:rPr>
          <w:rFonts w:ascii="Century Gothic" w:hAnsi="Century Gothic"/>
        </w:rPr>
        <w:t>“</w:t>
      </w:r>
      <w:r>
        <w:rPr>
          <w:rFonts w:ascii="Century Gothic" w:hAnsi="Century Gothic"/>
        </w:rPr>
        <w:t>clawback</w:t>
      </w:r>
      <w:r w:rsidR="005036AA">
        <w:rPr>
          <w:rFonts w:ascii="Century Gothic" w:hAnsi="Century Gothic"/>
        </w:rPr>
        <w:t>”</w:t>
      </w:r>
      <w:r>
        <w:rPr>
          <w:rFonts w:ascii="Century Gothic" w:hAnsi="Century Gothic"/>
        </w:rPr>
        <w:t xml:space="preserve"> </w:t>
      </w:r>
      <w:r w:rsidR="00F2381C">
        <w:rPr>
          <w:rFonts w:ascii="Century Gothic" w:hAnsi="Century Gothic"/>
        </w:rPr>
        <w:t xml:space="preserve">deduction </w:t>
      </w:r>
      <w:r w:rsidR="000A26E9">
        <w:rPr>
          <w:rFonts w:ascii="Century Gothic" w:hAnsi="Century Gothic"/>
        </w:rPr>
        <w:t xml:space="preserve">or systemic allocation </w:t>
      </w:r>
      <w:r>
        <w:rPr>
          <w:rFonts w:ascii="Century Gothic" w:hAnsi="Century Gothic"/>
        </w:rPr>
        <w:t xml:space="preserve">of </w:t>
      </w:r>
      <w:r w:rsidR="000A26E9">
        <w:rPr>
          <w:rFonts w:ascii="Century Gothic" w:hAnsi="Century Gothic"/>
        </w:rPr>
        <w:t xml:space="preserve">depreciable amount of </w:t>
      </w:r>
      <w:r>
        <w:rPr>
          <w:rFonts w:ascii="Century Gothic" w:hAnsi="Century Gothic"/>
        </w:rPr>
        <w:t xml:space="preserve">the capital </w:t>
      </w:r>
      <w:r w:rsidR="005036AA">
        <w:rPr>
          <w:rFonts w:ascii="Century Gothic" w:hAnsi="Century Gothic"/>
        </w:rPr>
        <w:t xml:space="preserve">expenditure investment of the </w:t>
      </w:r>
      <w:r w:rsidR="00D00EE1">
        <w:rPr>
          <w:rFonts w:ascii="Century Gothic" w:hAnsi="Century Gothic"/>
        </w:rPr>
        <w:t xml:space="preserve">material </w:t>
      </w:r>
      <w:r w:rsidR="005036AA">
        <w:rPr>
          <w:rFonts w:ascii="Century Gothic" w:hAnsi="Century Gothic"/>
        </w:rPr>
        <w:t>assets</w:t>
      </w:r>
      <w:r w:rsidR="000A26E9">
        <w:rPr>
          <w:rFonts w:ascii="Century Gothic" w:hAnsi="Century Gothic"/>
        </w:rPr>
        <w:t xml:space="preserve"> over its </w:t>
      </w:r>
      <w:r w:rsidR="00B938A8">
        <w:rPr>
          <w:rFonts w:ascii="Century Gothic" w:hAnsi="Century Gothic"/>
        </w:rPr>
        <w:t>useful</w:t>
      </w:r>
      <w:r w:rsidR="000A26E9">
        <w:rPr>
          <w:rFonts w:ascii="Century Gothic" w:hAnsi="Century Gothic"/>
        </w:rPr>
        <w:t xml:space="preserve"> life</w:t>
      </w:r>
      <w:r w:rsidR="00F2381C">
        <w:rPr>
          <w:rFonts w:ascii="Century Gothic" w:hAnsi="Century Gothic"/>
        </w:rPr>
        <w:t>, a period set by the Act.</w:t>
      </w:r>
    </w:p>
    <w:p w14:paraId="3C7E6FDB" w14:textId="448A8DF3" w:rsidR="005036AA" w:rsidRDefault="00E337AB" w:rsidP="0075517D">
      <w:pPr>
        <w:pStyle w:val="NoSpacing"/>
        <w:jc w:val="both"/>
        <w:rPr>
          <w:rFonts w:ascii="Century Gothic" w:hAnsi="Century Gothic"/>
        </w:rPr>
      </w:pPr>
      <w:r>
        <w:rPr>
          <w:rFonts w:ascii="Century Gothic" w:hAnsi="Century Gothic"/>
        </w:rPr>
        <w:t xml:space="preserve">  </w:t>
      </w:r>
    </w:p>
    <w:p w14:paraId="19CBC7C5" w14:textId="1E29F21F" w:rsidR="00161BFE" w:rsidRDefault="003F6799" w:rsidP="0075517D">
      <w:pPr>
        <w:pStyle w:val="NoSpacing"/>
        <w:jc w:val="both"/>
        <w:rPr>
          <w:rFonts w:ascii="Century Gothic" w:hAnsi="Century Gothic"/>
        </w:rPr>
      </w:pPr>
      <w:r>
        <w:rPr>
          <w:rFonts w:ascii="Century Gothic" w:hAnsi="Century Gothic"/>
        </w:rPr>
        <w:t>The Business Interruption insurance policy takes no cognizance of the term “Capital Allowance’.</w:t>
      </w:r>
      <w:r w:rsidR="00FD3B0F">
        <w:rPr>
          <w:rFonts w:ascii="Century Gothic" w:hAnsi="Century Gothic"/>
        </w:rPr>
        <w:t xml:space="preserve"> Hence, the BI</w:t>
      </w:r>
      <w:r w:rsidR="00CA5F05">
        <w:rPr>
          <w:rFonts w:ascii="Century Gothic" w:hAnsi="Century Gothic"/>
        </w:rPr>
        <w:t xml:space="preserve"> insurance</w:t>
      </w:r>
      <w:r w:rsidR="00FD3B0F">
        <w:rPr>
          <w:rFonts w:ascii="Century Gothic" w:hAnsi="Century Gothic"/>
        </w:rPr>
        <w:t xml:space="preserve"> policy’s meaning of </w:t>
      </w:r>
      <w:r w:rsidR="00161BFE">
        <w:rPr>
          <w:rFonts w:ascii="Century Gothic" w:hAnsi="Century Gothic"/>
        </w:rPr>
        <w:t>‘</w:t>
      </w:r>
      <w:r w:rsidR="00FD3B0F">
        <w:rPr>
          <w:rFonts w:ascii="Century Gothic" w:hAnsi="Century Gothic"/>
        </w:rPr>
        <w:t>Depreciation</w:t>
      </w:r>
      <w:r w:rsidR="00161BFE">
        <w:rPr>
          <w:rFonts w:ascii="Century Gothic" w:hAnsi="Century Gothic"/>
        </w:rPr>
        <w:t>’</w:t>
      </w:r>
      <w:r w:rsidR="00FD3B0F">
        <w:rPr>
          <w:rFonts w:ascii="Century Gothic" w:hAnsi="Century Gothic"/>
        </w:rPr>
        <w:t xml:space="preserve"> is estranged from the MASB and IASB </w:t>
      </w:r>
      <w:r w:rsidR="00FE65A5">
        <w:rPr>
          <w:rFonts w:ascii="Century Gothic" w:hAnsi="Century Gothic"/>
        </w:rPr>
        <w:t>A</w:t>
      </w:r>
      <w:r w:rsidR="00FD3B0F">
        <w:rPr>
          <w:rFonts w:ascii="Century Gothic" w:hAnsi="Century Gothic"/>
        </w:rPr>
        <w:t xml:space="preserve">ccounting </w:t>
      </w:r>
      <w:r w:rsidR="00FE65A5">
        <w:rPr>
          <w:rFonts w:ascii="Century Gothic" w:hAnsi="Century Gothic"/>
        </w:rPr>
        <w:t>S</w:t>
      </w:r>
      <w:r w:rsidR="00FD3B0F">
        <w:rPr>
          <w:rFonts w:ascii="Century Gothic" w:hAnsi="Century Gothic"/>
        </w:rPr>
        <w:t xml:space="preserve">tandards </w:t>
      </w:r>
      <w:r w:rsidR="00FE65A5">
        <w:rPr>
          <w:rFonts w:ascii="Century Gothic" w:hAnsi="Century Gothic"/>
        </w:rPr>
        <w:t>P</w:t>
      </w:r>
      <w:r w:rsidR="00FD3B0F">
        <w:rPr>
          <w:rFonts w:ascii="Century Gothic" w:hAnsi="Century Gothic"/>
        </w:rPr>
        <w:t>ractice</w:t>
      </w:r>
      <w:r w:rsidR="00714067">
        <w:rPr>
          <w:rFonts w:ascii="Century Gothic" w:hAnsi="Century Gothic"/>
        </w:rPr>
        <w:t>s</w:t>
      </w:r>
      <w:r w:rsidR="00FD3B0F">
        <w:rPr>
          <w:rFonts w:ascii="Century Gothic" w:hAnsi="Century Gothic"/>
        </w:rPr>
        <w:t xml:space="preserve"> </w:t>
      </w:r>
      <w:r w:rsidR="00161BFE">
        <w:rPr>
          <w:rFonts w:ascii="Century Gothic" w:hAnsi="Century Gothic"/>
        </w:rPr>
        <w:t xml:space="preserve">worldwide as well as the </w:t>
      </w:r>
      <w:r w:rsidR="00FE65A5">
        <w:rPr>
          <w:rFonts w:ascii="Century Gothic" w:hAnsi="Century Gothic"/>
        </w:rPr>
        <w:t>Act</w:t>
      </w:r>
      <w:r w:rsidR="00161BFE">
        <w:rPr>
          <w:rFonts w:ascii="Century Gothic" w:hAnsi="Century Gothic"/>
        </w:rPr>
        <w:t>.</w:t>
      </w:r>
    </w:p>
    <w:p w14:paraId="3795248A" w14:textId="77777777" w:rsidR="00CA5F05" w:rsidRDefault="00CA5F05" w:rsidP="0075517D">
      <w:pPr>
        <w:pStyle w:val="NoSpacing"/>
        <w:jc w:val="both"/>
        <w:rPr>
          <w:rFonts w:ascii="Century Gothic" w:hAnsi="Century Gothic"/>
        </w:rPr>
      </w:pPr>
    </w:p>
    <w:p w14:paraId="7E9905DD" w14:textId="08A8D1BC" w:rsidR="00161BFE" w:rsidRDefault="00714067" w:rsidP="0075517D">
      <w:pPr>
        <w:pStyle w:val="NoSpacing"/>
        <w:jc w:val="both"/>
        <w:rPr>
          <w:rFonts w:ascii="Century Gothic" w:hAnsi="Century Gothic"/>
        </w:rPr>
      </w:pPr>
      <w:r>
        <w:rPr>
          <w:rFonts w:ascii="Century Gothic" w:hAnsi="Century Gothic"/>
        </w:rPr>
        <w:t xml:space="preserve">The shortcoming of the BI </w:t>
      </w:r>
      <w:r w:rsidR="00CA5F05">
        <w:rPr>
          <w:rFonts w:ascii="Century Gothic" w:hAnsi="Century Gothic"/>
        </w:rPr>
        <w:t xml:space="preserve">insurance </w:t>
      </w:r>
      <w:r>
        <w:rPr>
          <w:rFonts w:ascii="Century Gothic" w:hAnsi="Century Gothic"/>
        </w:rPr>
        <w:t xml:space="preserve">policy has to be </w:t>
      </w:r>
      <w:r w:rsidR="001218BB">
        <w:rPr>
          <w:rFonts w:ascii="Century Gothic" w:hAnsi="Century Gothic"/>
        </w:rPr>
        <w:t xml:space="preserve">appropriately </w:t>
      </w:r>
      <w:r>
        <w:rPr>
          <w:rFonts w:ascii="Century Gothic" w:hAnsi="Century Gothic"/>
        </w:rPr>
        <w:t>addressed by incorporating the technical word</w:t>
      </w:r>
      <w:r w:rsidR="001218BB">
        <w:rPr>
          <w:rFonts w:ascii="Century Gothic" w:hAnsi="Century Gothic"/>
        </w:rPr>
        <w:t>s</w:t>
      </w:r>
      <w:r>
        <w:rPr>
          <w:rFonts w:ascii="Century Gothic" w:hAnsi="Century Gothic"/>
        </w:rPr>
        <w:t xml:space="preserve"> “Capital Allowance” </w:t>
      </w:r>
      <w:r w:rsidR="001218BB">
        <w:rPr>
          <w:rFonts w:ascii="Century Gothic" w:hAnsi="Century Gothic"/>
        </w:rPr>
        <w:t xml:space="preserve">expressly </w:t>
      </w:r>
      <w:r>
        <w:rPr>
          <w:rFonts w:ascii="Century Gothic" w:hAnsi="Century Gothic"/>
        </w:rPr>
        <w:t xml:space="preserve">defined therein as Depreciation </w:t>
      </w:r>
      <w:r w:rsidR="001218BB">
        <w:rPr>
          <w:rFonts w:ascii="Century Gothic" w:hAnsi="Century Gothic"/>
        </w:rPr>
        <w:t xml:space="preserve">to mean </w:t>
      </w:r>
      <w:r>
        <w:rPr>
          <w:rFonts w:ascii="Century Gothic" w:hAnsi="Century Gothic"/>
        </w:rPr>
        <w:t xml:space="preserve">to be </w:t>
      </w:r>
      <w:r w:rsidR="00E2585A">
        <w:rPr>
          <w:rFonts w:ascii="Century Gothic" w:hAnsi="Century Gothic"/>
        </w:rPr>
        <w:t xml:space="preserve">in </w:t>
      </w:r>
      <w:r w:rsidR="00CA5F05" w:rsidRPr="00F2381C">
        <w:rPr>
          <w:rFonts w:ascii="Century Gothic" w:hAnsi="Century Gothic"/>
        </w:rPr>
        <w:t>tandem</w:t>
      </w:r>
      <w:r>
        <w:rPr>
          <w:rFonts w:ascii="Century Gothic" w:hAnsi="Century Gothic"/>
        </w:rPr>
        <w:t xml:space="preserve"> with</w:t>
      </w:r>
      <w:r w:rsidR="001218BB">
        <w:rPr>
          <w:rFonts w:ascii="Century Gothic" w:hAnsi="Century Gothic"/>
        </w:rPr>
        <w:t xml:space="preserve"> </w:t>
      </w:r>
      <w:r w:rsidR="00E2585A">
        <w:rPr>
          <w:rFonts w:ascii="Century Gothic" w:hAnsi="Century Gothic"/>
        </w:rPr>
        <w:t xml:space="preserve">Schedule 3 of the </w:t>
      </w:r>
      <w:r>
        <w:rPr>
          <w:rFonts w:ascii="Century Gothic" w:hAnsi="Century Gothic"/>
        </w:rPr>
        <w:t>Act</w:t>
      </w:r>
      <w:r w:rsidR="001218BB">
        <w:rPr>
          <w:rFonts w:ascii="Century Gothic" w:hAnsi="Century Gothic"/>
        </w:rPr>
        <w:t>,</w:t>
      </w:r>
      <w:r>
        <w:rPr>
          <w:rFonts w:ascii="Century Gothic" w:hAnsi="Century Gothic"/>
        </w:rPr>
        <w:t xml:space="preserve"> the </w:t>
      </w:r>
      <w:r w:rsidR="001218BB">
        <w:rPr>
          <w:rFonts w:ascii="Century Gothic" w:hAnsi="Century Gothic"/>
        </w:rPr>
        <w:t xml:space="preserve">MASB and IASB </w:t>
      </w:r>
      <w:r w:rsidR="001218BB">
        <w:rPr>
          <w:rFonts w:ascii="Century Gothic" w:hAnsi="Century Gothic"/>
        </w:rPr>
        <w:lastRenderedPageBreak/>
        <w:t>Accounting Standards</w:t>
      </w:r>
      <w:r w:rsidR="00E2585A">
        <w:rPr>
          <w:rFonts w:ascii="Century Gothic" w:hAnsi="Century Gothic"/>
        </w:rPr>
        <w:t>, in order to avoid the rule of contra proferentem.</w:t>
      </w:r>
      <w:r w:rsidR="00A20207">
        <w:rPr>
          <w:rFonts w:ascii="Century Gothic" w:hAnsi="Century Gothic"/>
        </w:rPr>
        <w:t xml:space="preserve"> Any ambiguity will be resolved against the party who framed the contract.</w:t>
      </w:r>
    </w:p>
    <w:p w14:paraId="6ADD1ABE" w14:textId="3F57D32D" w:rsidR="00161BFE" w:rsidRDefault="00161BFE" w:rsidP="0075517D">
      <w:pPr>
        <w:pStyle w:val="NoSpacing"/>
        <w:jc w:val="both"/>
        <w:rPr>
          <w:rFonts w:ascii="Century Gothic" w:hAnsi="Century Gothic"/>
        </w:rPr>
      </w:pPr>
    </w:p>
    <w:p w14:paraId="1554666E" w14:textId="05F69B90" w:rsidR="00161BFE" w:rsidRDefault="00E2585A" w:rsidP="0075517D">
      <w:pPr>
        <w:pStyle w:val="NoSpacing"/>
        <w:jc w:val="both"/>
        <w:rPr>
          <w:rFonts w:ascii="Century Gothic" w:hAnsi="Century Gothic"/>
        </w:rPr>
      </w:pPr>
      <w:r>
        <w:rPr>
          <w:rFonts w:ascii="Century Gothic" w:hAnsi="Century Gothic"/>
        </w:rPr>
        <w:t>In all the circumstances, Depreciation</w:t>
      </w:r>
      <w:r w:rsidR="005D7D35">
        <w:rPr>
          <w:rFonts w:ascii="Century Gothic" w:hAnsi="Century Gothic"/>
        </w:rPr>
        <w:t>,</w:t>
      </w:r>
      <w:r>
        <w:rPr>
          <w:rFonts w:ascii="Century Gothic" w:hAnsi="Century Gothic"/>
        </w:rPr>
        <w:t xml:space="preserve"> which is no longer </w:t>
      </w:r>
      <w:r w:rsidR="005D7D35">
        <w:rPr>
          <w:rFonts w:ascii="Century Gothic" w:hAnsi="Century Gothic"/>
        </w:rPr>
        <w:t xml:space="preserve">regarded as </w:t>
      </w:r>
      <w:r>
        <w:rPr>
          <w:rFonts w:ascii="Century Gothic" w:hAnsi="Century Gothic"/>
        </w:rPr>
        <w:t>a deductible expense</w:t>
      </w:r>
      <w:r w:rsidR="00F2381C">
        <w:rPr>
          <w:rFonts w:ascii="Century Gothic" w:hAnsi="Century Gothic"/>
        </w:rPr>
        <w:t>,</w:t>
      </w:r>
      <w:r>
        <w:rPr>
          <w:rFonts w:ascii="Century Gothic" w:hAnsi="Century Gothic"/>
        </w:rPr>
        <w:t xml:space="preserve"> </w:t>
      </w:r>
      <w:r w:rsidR="005D7D35">
        <w:rPr>
          <w:rFonts w:ascii="Century Gothic" w:hAnsi="Century Gothic"/>
        </w:rPr>
        <w:t xml:space="preserve">as mentioned above, </w:t>
      </w:r>
      <w:r w:rsidR="00081327">
        <w:rPr>
          <w:rFonts w:ascii="Century Gothic" w:hAnsi="Century Gothic"/>
        </w:rPr>
        <w:t>may be</w:t>
      </w:r>
      <w:r w:rsidR="005D7D35">
        <w:rPr>
          <w:rFonts w:ascii="Century Gothic" w:hAnsi="Century Gothic"/>
        </w:rPr>
        <w:t xml:space="preserve"> insurable as </w:t>
      </w:r>
      <w:r w:rsidR="00EB4AC0">
        <w:rPr>
          <w:rFonts w:ascii="Century Gothic" w:hAnsi="Century Gothic"/>
        </w:rPr>
        <w:t xml:space="preserve">a </w:t>
      </w:r>
      <w:r w:rsidR="00081327">
        <w:rPr>
          <w:rFonts w:ascii="Century Gothic" w:hAnsi="Century Gothic"/>
        </w:rPr>
        <w:t>Capital Allowance</w:t>
      </w:r>
      <w:r w:rsidR="00A73E34">
        <w:rPr>
          <w:rFonts w:ascii="Century Gothic" w:hAnsi="Century Gothic"/>
        </w:rPr>
        <w:t xml:space="preserve"> or a selected portion thereof</w:t>
      </w:r>
      <w:r w:rsidR="00F2381C">
        <w:rPr>
          <w:rFonts w:ascii="Century Gothic" w:hAnsi="Century Gothic"/>
        </w:rPr>
        <w:t xml:space="preserve"> or not insured at all</w:t>
      </w:r>
      <w:r w:rsidR="00081327">
        <w:rPr>
          <w:rFonts w:ascii="Century Gothic" w:hAnsi="Century Gothic"/>
        </w:rPr>
        <w:t>,</w:t>
      </w:r>
      <w:r w:rsidR="005D7D35">
        <w:rPr>
          <w:rFonts w:ascii="Century Gothic" w:hAnsi="Century Gothic"/>
        </w:rPr>
        <w:t xml:space="preserve"> pursuant to the Fundamental Principle of Indemnity.</w:t>
      </w:r>
    </w:p>
    <w:p w14:paraId="747CABB4" w14:textId="77777777" w:rsidR="007576C0" w:rsidRDefault="007576C0" w:rsidP="0075517D">
      <w:pPr>
        <w:pStyle w:val="NoSpacing"/>
        <w:jc w:val="both"/>
        <w:rPr>
          <w:rFonts w:ascii="Century Gothic" w:hAnsi="Century Gothic"/>
        </w:rPr>
      </w:pPr>
    </w:p>
    <w:p w14:paraId="72F31B78" w14:textId="62E46C28" w:rsidR="00161BFE" w:rsidRDefault="00D17FC2" w:rsidP="0075517D">
      <w:pPr>
        <w:pStyle w:val="NoSpacing"/>
        <w:jc w:val="both"/>
        <w:rPr>
          <w:rFonts w:ascii="Century Gothic" w:hAnsi="Century Gothic"/>
        </w:rPr>
      </w:pPr>
      <w:r>
        <w:rPr>
          <w:rFonts w:ascii="Century Gothic" w:hAnsi="Century Gothic"/>
        </w:rPr>
        <w:t xml:space="preserve">It is suggested that </w:t>
      </w:r>
      <w:r w:rsidR="00AA6319">
        <w:rPr>
          <w:rFonts w:ascii="Century Gothic" w:hAnsi="Century Gothic"/>
        </w:rPr>
        <w:t>t</w:t>
      </w:r>
      <w:r w:rsidR="00081327">
        <w:rPr>
          <w:rFonts w:ascii="Century Gothic" w:hAnsi="Century Gothic"/>
        </w:rPr>
        <w:t xml:space="preserve">he policy schedule of the BI Insurance policy can be </w:t>
      </w:r>
      <w:r w:rsidR="00A73E34">
        <w:rPr>
          <w:rFonts w:ascii="Century Gothic" w:hAnsi="Century Gothic"/>
        </w:rPr>
        <w:t xml:space="preserve">appropriately </w:t>
      </w:r>
      <w:r w:rsidR="00081327">
        <w:rPr>
          <w:rFonts w:ascii="Century Gothic" w:hAnsi="Century Gothic"/>
        </w:rPr>
        <w:t>written</w:t>
      </w:r>
      <w:r w:rsidR="004C1284">
        <w:rPr>
          <w:rFonts w:ascii="Century Gothic" w:hAnsi="Century Gothic"/>
        </w:rPr>
        <w:t xml:space="preserve">, </w:t>
      </w:r>
      <w:r w:rsidR="007576C0">
        <w:rPr>
          <w:rFonts w:ascii="Century Gothic" w:hAnsi="Century Gothic"/>
        </w:rPr>
        <w:t>with Deprec</w:t>
      </w:r>
      <w:r w:rsidR="004C1284">
        <w:rPr>
          <w:rFonts w:ascii="Century Gothic" w:hAnsi="Century Gothic"/>
        </w:rPr>
        <w:t>i</w:t>
      </w:r>
      <w:r w:rsidR="007576C0">
        <w:rPr>
          <w:rFonts w:ascii="Century Gothic" w:hAnsi="Century Gothic"/>
        </w:rPr>
        <w:t>ation as a</w:t>
      </w:r>
      <w:r w:rsidR="004C1284">
        <w:rPr>
          <w:rFonts w:ascii="Century Gothic" w:hAnsi="Century Gothic"/>
        </w:rPr>
        <w:t>n</w:t>
      </w:r>
      <w:r w:rsidR="007576C0">
        <w:rPr>
          <w:rFonts w:ascii="Century Gothic" w:hAnsi="Century Gothic"/>
        </w:rPr>
        <w:t xml:space="preserve"> Optional charge, </w:t>
      </w:r>
      <w:r w:rsidR="00081327">
        <w:rPr>
          <w:rFonts w:ascii="Century Gothic" w:hAnsi="Century Gothic"/>
        </w:rPr>
        <w:t xml:space="preserve">as </w:t>
      </w:r>
      <w:r w:rsidR="00891DCD">
        <w:rPr>
          <w:rFonts w:ascii="Century Gothic" w:hAnsi="Century Gothic"/>
        </w:rPr>
        <w:t xml:space="preserve">set out </w:t>
      </w:r>
      <w:r w:rsidR="00AA6319">
        <w:rPr>
          <w:rFonts w:ascii="Century Gothic" w:hAnsi="Century Gothic"/>
        </w:rPr>
        <w:t>hereunder</w:t>
      </w:r>
      <w:r w:rsidR="00081327">
        <w:rPr>
          <w:rFonts w:ascii="Century Gothic" w:hAnsi="Century Gothic"/>
        </w:rPr>
        <w:t>:</w:t>
      </w:r>
    </w:p>
    <w:p w14:paraId="0EC92288" w14:textId="553E68A9" w:rsidR="006B4C60" w:rsidRDefault="006B4C60" w:rsidP="00B77B26">
      <w:pPr>
        <w:pStyle w:val="NoSpacing"/>
        <w:jc w:val="both"/>
        <w:rPr>
          <w:rFonts w:ascii="Century Gothic" w:hAnsi="Century Gothic"/>
        </w:rPr>
      </w:pPr>
    </w:p>
    <w:p w14:paraId="56421082" w14:textId="2358B4D7" w:rsidR="006B4C60" w:rsidRPr="006B4C60" w:rsidRDefault="006B4C60" w:rsidP="00B77B26">
      <w:pPr>
        <w:pStyle w:val="NoSpacing"/>
        <w:jc w:val="both"/>
        <w:rPr>
          <w:rFonts w:ascii="Century Gothic" w:hAnsi="Century Gothic"/>
          <w:b/>
          <w:u w:val="single"/>
        </w:rPr>
      </w:pPr>
      <w:r w:rsidRPr="006B4C60">
        <w:rPr>
          <w:rFonts w:ascii="Century Gothic" w:hAnsi="Century Gothic"/>
          <w:b/>
          <w:u w:val="single"/>
        </w:rPr>
        <w:t>Illustration 5</w:t>
      </w:r>
    </w:p>
    <w:p w14:paraId="56620CF4" w14:textId="0A97DDB6" w:rsidR="00081327" w:rsidRDefault="00081327" w:rsidP="00B77B26">
      <w:pPr>
        <w:pStyle w:val="NoSpacing"/>
        <w:jc w:val="both"/>
        <w:rPr>
          <w:rFonts w:ascii="Century Gothic" w:hAnsi="Century Gothic"/>
        </w:rPr>
      </w:pPr>
    </w:p>
    <w:p w14:paraId="7F214643" w14:textId="693B5C01" w:rsidR="00081327" w:rsidRDefault="00081327" w:rsidP="00B77B26">
      <w:pPr>
        <w:pStyle w:val="NoSpacing"/>
        <w:jc w:val="both"/>
        <w:rPr>
          <w:rFonts w:ascii="Century Gothic" w:hAnsi="Century Gothic"/>
        </w:rPr>
      </w:pPr>
      <w:r w:rsidRPr="00590AF4">
        <w:rPr>
          <w:rFonts w:ascii="Century Gothic" w:hAnsi="Century Gothic"/>
          <w:u w:val="single"/>
        </w:rPr>
        <w:t>I</w:t>
      </w:r>
      <w:r w:rsidRPr="00590AF4">
        <w:rPr>
          <w:rFonts w:ascii="Century Gothic" w:hAnsi="Century Gothic"/>
          <w:b/>
          <w:u w:val="single"/>
        </w:rPr>
        <w:t>tem</w:t>
      </w:r>
      <w:r>
        <w:rPr>
          <w:rFonts w:ascii="Century Gothic" w:hAnsi="Century Gothic"/>
        </w:rPr>
        <w:t xml:space="preserve">          </w:t>
      </w:r>
      <w:r w:rsidRPr="00590AF4">
        <w:rPr>
          <w:rFonts w:ascii="Century Gothic" w:hAnsi="Century Gothic"/>
          <w:b/>
          <w:u w:val="single"/>
        </w:rPr>
        <w:t>Interest Insured</w:t>
      </w:r>
      <w:r>
        <w:rPr>
          <w:rFonts w:ascii="Century Gothic" w:hAnsi="Century Gothic"/>
        </w:rPr>
        <w:t xml:space="preserve">                                                      </w:t>
      </w:r>
      <w:r w:rsidRPr="00590AF4">
        <w:rPr>
          <w:rFonts w:ascii="Century Gothic" w:hAnsi="Century Gothic"/>
          <w:b/>
          <w:u w:val="single"/>
        </w:rPr>
        <w:t>Sum Insured</w:t>
      </w:r>
    </w:p>
    <w:p w14:paraId="77FE52EF" w14:textId="6925C347" w:rsidR="00081327" w:rsidRDefault="00081327" w:rsidP="00B77B26">
      <w:pPr>
        <w:pStyle w:val="NoSpacing"/>
        <w:jc w:val="both"/>
        <w:rPr>
          <w:rFonts w:ascii="Century Gothic" w:hAnsi="Century Gothic"/>
        </w:rPr>
      </w:pPr>
      <w:r>
        <w:rPr>
          <w:rFonts w:ascii="Century Gothic" w:hAnsi="Century Gothic"/>
        </w:rPr>
        <w:t xml:space="preserve">   1            On Gross Profit                                                    </w:t>
      </w:r>
      <w:r w:rsidR="00D17FC2">
        <w:rPr>
          <w:rFonts w:ascii="Century Gothic" w:hAnsi="Century Gothic"/>
        </w:rPr>
        <w:t xml:space="preserve"> </w:t>
      </w:r>
      <w:r w:rsidR="002D6B08">
        <w:rPr>
          <w:rFonts w:ascii="Century Gothic" w:hAnsi="Century Gothic"/>
        </w:rPr>
        <w:t xml:space="preserve">  $  </w:t>
      </w:r>
      <w:r>
        <w:rPr>
          <w:rFonts w:ascii="Century Gothic" w:hAnsi="Century Gothic"/>
        </w:rPr>
        <w:t>10,000,000</w:t>
      </w:r>
    </w:p>
    <w:p w14:paraId="2699FC14" w14:textId="19912CFE" w:rsidR="00081327" w:rsidRDefault="00081327" w:rsidP="00B77B26">
      <w:pPr>
        <w:pStyle w:val="NoSpacing"/>
        <w:jc w:val="both"/>
        <w:rPr>
          <w:rFonts w:ascii="Century Gothic" w:hAnsi="Century Gothic"/>
        </w:rPr>
      </w:pPr>
      <w:r>
        <w:rPr>
          <w:rFonts w:ascii="Century Gothic" w:hAnsi="Century Gothic"/>
        </w:rPr>
        <w:t xml:space="preserve">   2            On Additional Increase in Cost of Working             1.000,000</w:t>
      </w:r>
    </w:p>
    <w:p w14:paraId="7177C3CB" w14:textId="6020EBFA" w:rsidR="00081327" w:rsidRDefault="00081327" w:rsidP="00B77B26">
      <w:pPr>
        <w:pStyle w:val="NoSpacing"/>
        <w:jc w:val="both"/>
        <w:rPr>
          <w:rFonts w:ascii="Century Gothic" w:hAnsi="Century Gothic"/>
        </w:rPr>
      </w:pPr>
      <w:r>
        <w:rPr>
          <w:rFonts w:ascii="Century Gothic" w:hAnsi="Century Gothic"/>
        </w:rPr>
        <w:t xml:space="preserve">   3            On Accountants’ Fees/Charges                                </w:t>
      </w:r>
      <w:r w:rsidR="00590AF4">
        <w:rPr>
          <w:rFonts w:ascii="Century Gothic" w:hAnsi="Century Gothic"/>
        </w:rPr>
        <w:t xml:space="preserve"> </w:t>
      </w:r>
      <w:r>
        <w:rPr>
          <w:rFonts w:ascii="Century Gothic" w:hAnsi="Century Gothic"/>
        </w:rPr>
        <w:t>100,000</w:t>
      </w:r>
    </w:p>
    <w:p w14:paraId="2853A2DC" w14:textId="2BF2093F" w:rsidR="00081327" w:rsidRDefault="00081327" w:rsidP="00B77B26">
      <w:pPr>
        <w:pStyle w:val="NoSpacing"/>
        <w:jc w:val="both"/>
        <w:rPr>
          <w:rFonts w:ascii="Century Gothic" w:hAnsi="Century Gothic"/>
        </w:rPr>
      </w:pPr>
      <w:r>
        <w:rPr>
          <w:rFonts w:ascii="Century Gothic" w:hAnsi="Century Gothic"/>
        </w:rPr>
        <w:t xml:space="preserve">   4            On </w:t>
      </w:r>
      <w:r w:rsidR="00E93E9E">
        <w:rPr>
          <w:rFonts w:ascii="Century Gothic" w:hAnsi="Century Gothic"/>
        </w:rPr>
        <w:t>Depreciation</w:t>
      </w:r>
      <w:r w:rsidR="00B13017">
        <w:rPr>
          <w:rStyle w:val="FootnoteReference"/>
          <w:rFonts w:ascii="Century Gothic" w:hAnsi="Century Gothic"/>
        </w:rPr>
        <w:footnoteReference w:id="16"/>
      </w:r>
      <w:r>
        <w:rPr>
          <w:rFonts w:ascii="Century Gothic" w:hAnsi="Century Gothic"/>
        </w:rPr>
        <w:t xml:space="preserve">                                       </w:t>
      </w:r>
      <w:r w:rsidR="00E93E9E">
        <w:rPr>
          <w:rFonts w:ascii="Century Gothic" w:hAnsi="Century Gothic"/>
        </w:rPr>
        <w:t xml:space="preserve">          </w:t>
      </w:r>
      <w:r>
        <w:rPr>
          <w:rFonts w:ascii="Century Gothic" w:hAnsi="Century Gothic"/>
        </w:rPr>
        <w:t xml:space="preserve"> </w:t>
      </w:r>
      <w:r w:rsidRPr="00081327">
        <w:rPr>
          <w:rFonts w:ascii="Century Gothic" w:hAnsi="Century Gothic"/>
          <w:u w:val="single"/>
        </w:rPr>
        <w:t xml:space="preserve">    1,000,000</w:t>
      </w:r>
    </w:p>
    <w:p w14:paraId="474F5BAE" w14:textId="7F33FC9B" w:rsidR="00081327" w:rsidRPr="00590AF4" w:rsidRDefault="00081327" w:rsidP="00B77B26">
      <w:pPr>
        <w:pStyle w:val="NoSpacing"/>
        <w:jc w:val="both"/>
        <w:rPr>
          <w:rFonts w:ascii="Century Gothic" w:hAnsi="Century Gothic"/>
          <w:u w:val="single"/>
        </w:rPr>
      </w:pPr>
      <w:r>
        <w:rPr>
          <w:rFonts w:ascii="Century Gothic" w:hAnsi="Century Gothic"/>
        </w:rPr>
        <w:t xml:space="preserve">                                                     TOTAL SUMS INSURED       </w:t>
      </w:r>
      <w:r w:rsidR="002D6B08">
        <w:rPr>
          <w:rFonts w:ascii="Century Gothic" w:hAnsi="Century Gothic"/>
          <w:u w:val="single"/>
        </w:rPr>
        <w:t xml:space="preserve"> $  </w:t>
      </w:r>
      <w:r w:rsidR="00590AF4" w:rsidRPr="00590AF4">
        <w:rPr>
          <w:rFonts w:ascii="Century Gothic" w:hAnsi="Century Gothic"/>
          <w:u w:val="single"/>
        </w:rPr>
        <w:t>12,100,000</w:t>
      </w:r>
    </w:p>
    <w:p w14:paraId="57839875" w14:textId="77777777" w:rsidR="004C1284" w:rsidRDefault="004C1284" w:rsidP="00B77B26">
      <w:pPr>
        <w:pStyle w:val="NoSpacing"/>
        <w:jc w:val="both"/>
        <w:rPr>
          <w:rFonts w:ascii="Century Gothic" w:hAnsi="Century Gothic"/>
        </w:rPr>
      </w:pPr>
    </w:p>
    <w:p w14:paraId="70713DFA" w14:textId="4C8166C4" w:rsidR="00F2381C" w:rsidRDefault="004C1284" w:rsidP="00B77B26">
      <w:pPr>
        <w:pStyle w:val="NoSpacing"/>
        <w:jc w:val="both"/>
        <w:rPr>
          <w:rFonts w:ascii="Century Gothic" w:hAnsi="Century Gothic"/>
        </w:rPr>
      </w:pPr>
      <w:r w:rsidRPr="004C1284">
        <w:rPr>
          <w:rFonts w:ascii="Century Gothic" w:hAnsi="Century Gothic"/>
        </w:rPr>
        <w:t xml:space="preserve">It is wishful </w:t>
      </w:r>
      <w:r>
        <w:rPr>
          <w:rFonts w:ascii="Century Gothic" w:hAnsi="Century Gothic"/>
        </w:rPr>
        <w:t xml:space="preserve">thinking to include Optional charge as part of the standing charges. Firstly, standing charges are, strictly, speaking, fixed costs. Optional charge is not so simply because such an expense is contingent upon circumstances rendering it to arise. </w:t>
      </w:r>
    </w:p>
    <w:p w14:paraId="1B504878" w14:textId="71F8E035" w:rsidR="004C1284" w:rsidRDefault="004C1284" w:rsidP="00B77B26">
      <w:pPr>
        <w:pStyle w:val="NoSpacing"/>
        <w:jc w:val="both"/>
        <w:rPr>
          <w:rFonts w:ascii="Century Gothic" w:hAnsi="Century Gothic"/>
        </w:rPr>
      </w:pPr>
    </w:p>
    <w:p w14:paraId="73BE4F6E" w14:textId="242BB1F0" w:rsidR="004C1284" w:rsidRDefault="004C1284" w:rsidP="00B77B26">
      <w:pPr>
        <w:pStyle w:val="NoSpacing"/>
        <w:jc w:val="both"/>
        <w:rPr>
          <w:rFonts w:ascii="Century Gothic" w:hAnsi="Century Gothic"/>
        </w:rPr>
      </w:pPr>
      <w:r>
        <w:rPr>
          <w:rFonts w:ascii="Century Gothic" w:hAnsi="Century Gothic"/>
        </w:rPr>
        <w:t>Secondly, IF Optional charge were part of the standing charges, it would be subject to the proportionate reduction condition.</w:t>
      </w:r>
    </w:p>
    <w:p w14:paraId="3B55FEDB" w14:textId="6D1EFA03" w:rsidR="004C1284" w:rsidRDefault="004C1284" w:rsidP="00B77B26">
      <w:pPr>
        <w:pStyle w:val="NoSpacing"/>
        <w:jc w:val="both"/>
        <w:rPr>
          <w:rFonts w:ascii="Century Gothic" w:hAnsi="Century Gothic"/>
        </w:rPr>
      </w:pPr>
    </w:p>
    <w:p w14:paraId="586A38DA" w14:textId="03CB3638" w:rsidR="004C1284" w:rsidRPr="004C1284" w:rsidRDefault="004C1284" w:rsidP="00B77B26">
      <w:pPr>
        <w:pStyle w:val="NoSpacing"/>
        <w:jc w:val="both"/>
        <w:rPr>
          <w:rFonts w:ascii="Century Gothic" w:hAnsi="Century Gothic"/>
        </w:rPr>
      </w:pPr>
      <w:r>
        <w:rPr>
          <w:rFonts w:ascii="Century Gothic" w:hAnsi="Century Gothic"/>
        </w:rPr>
        <w:t xml:space="preserve">Thirdly, Optional charge as a standalone item outside the standing charges obviates the underinsurance factor as it is </w:t>
      </w:r>
      <w:r w:rsidR="00A70198">
        <w:rPr>
          <w:rFonts w:ascii="Century Gothic" w:hAnsi="Century Gothic"/>
        </w:rPr>
        <w:t xml:space="preserve">on </w:t>
      </w:r>
      <w:r>
        <w:rPr>
          <w:rFonts w:ascii="Century Gothic" w:hAnsi="Century Gothic"/>
        </w:rPr>
        <w:t>a limit of liability</w:t>
      </w:r>
      <w:r w:rsidR="00A70198">
        <w:rPr>
          <w:rFonts w:ascii="Century Gothic" w:hAnsi="Century Gothic"/>
        </w:rPr>
        <w:t xml:space="preserve"> basis</w:t>
      </w:r>
      <w:r>
        <w:rPr>
          <w:rFonts w:ascii="Century Gothic" w:hAnsi="Century Gothic"/>
        </w:rPr>
        <w:t>.</w:t>
      </w:r>
    </w:p>
    <w:p w14:paraId="628B67EE" w14:textId="77777777" w:rsidR="004C1284" w:rsidRPr="004C1284" w:rsidRDefault="004C1284" w:rsidP="00B77B26">
      <w:pPr>
        <w:pStyle w:val="NoSpacing"/>
        <w:jc w:val="both"/>
        <w:rPr>
          <w:rFonts w:ascii="Century Gothic" w:hAnsi="Century Gothic"/>
          <w:u w:val="single"/>
        </w:rPr>
      </w:pPr>
    </w:p>
    <w:p w14:paraId="3FC2458D" w14:textId="43638905" w:rsidR="00590AF4" w:rsidRPr="00F2381C" w:rsidRDefault="008A05B9" w:rsidP="00B77B26">
      <w:pPr>
        <w:pStyle w:val="NoSpacing"/>
        <w:jc w:val="both"/>
        <w:rPr>
          <w:rFonts w:ascii="Century Gothic" w:hAnsi="Century Gothic"/>
          <w:u w:val="single"/>
        </w:rPr>
      </w:pPr>
      <w:r w:rsidRPr="00F2381C">
        <w:rPr>
          <w:rFonts w:ascii="Century Gothic" w:hAnsi="Century Gothic"/>
          <w:u w:val="single"/>
        </w:rPr>
        <w:t>Suggested policy definition of Capital Allowance</w:t>
      </w:r>
    </w:p>
    <w:p w14:paraId="76488B55" w14:textId="77777777" w:rsidR="00590AF4" w:rsidRPr="00EB4AC0" w:rsidRDefault="00590AF4" w:rsidP="00B77B26">
      <w:pPr>
        <w:pStyle w:val="NoSpacing"/>
        <w:jc w:val="both"/>
        <w:rPr>
          <w:rFonts w:ascii="Century Gothic" w:hAnsi="Century Gothic"/>
          <w:b/>
          <w:highlight w:val="yellow"/>
        </w:rPr>
      </w:pPr>
    </w:p>
    <w:p w14:paraId="0A1297A6" w14:textId="1911AFE0" w:rsidR="00590AF4" w:rsidRPr="00F2381C" w:rsidRDefault="008F4A6F" w:rsidP="00B77B26">
      <w:pPr>
        <w:pStyle w:val="NoSpacing"/>
        <w:jc w:val="both"/>
        <w:rPr>
          <w:rFonts w:ascii="Century Gothic" w:hAnsi="Century Gothic"/>
        </w:rPr>
      </w:pPr>
      <w:r w:rsidRPr="00F2381C">
        <w:rPr>
          <w:rFonts w:ascii="Century Gothic" w:hAnsi="Century Gothic"/>
        </w:rPr>
        <w:t>“</w:t>
      </w:r>
      <w:r w:rsidR="008A05B9" w:rsidRPr="00F2381C">
        <w:rPr>
          <w:rFonts w:ascii="Century Gothic" w:hAnsi="Century Gothic"/>
        </w:rPr>
        <w:t xml:space="preserve">Capital Allowance shall be synonymous with Depreciation </w:t>
      </w:r>
      <w:r w:rsidR="00F2381C">
        <w:rPr>
          <w:rFonts w:ascii="Century Gothic" w:hAnsi="Century Gothic"/>
        </w:rPr>
        <w:t>so</w:t>
      </w:r>
      <w:r w:rsidR="008A05B9" w:rsidRPr="00F2381C">
        <w:rPr>
          <w:rFonts w:ascii="Century Gothic" w:hAnsi="Century Gothic"/>
        </w:rPr>
        <w:t xml:space="preserve"> defined as the Allocation of the depreciable amount of an asset over its useful life</w:t>
      </w:r>
      <w:r w:rsidR="00EB4AC0" w:rsidRPr="00F2381C">
        <w:rPr>
          <w:rFonts w:ascii="Century Gothic" w:hAnsi="Century Gothic"/>
        </w:rPr>
        <w:t xml:space="preserve"> in the audited financial statements</w:t>
      </w:r>
      <w:r w:rsidRPr="00F2381C">
        <w:rPr>
          <w:rFonts w:ascii="Century Gothic" w:hAnsi="Century Gothic"/>
        </w:rPr>
        <w:t>”</w:t>
      </w:r>
      <w:r w:rsidR="00EB4AC0" w:rsidRPr="00F2381C">
        <w:rPr>
          <w:rFonts w:ascii="Century Gothic" w:hAnsi="Century Gothic"/>
        </w:rPr>
        <w:t>.</w:t>
      </w:r>
    </w:p>
    <w:p w14:paraId="2FE34CBA" w14:textId="77777777" w:rsidR="00C3025E" w:rsidRDefault="00C3025E" w:rsidP="00B77B26">
      <w:pPr>
        <w:pStyle w:val="NoSpacing"/>
        <w:jc w:val="both"/>
        <w:rPr>
          <w:rFonts w:ascii="Century Gothic" w:hAnsi="Century Gothic"/>
          <w:b/>
        </w:rPr>
      </w:pPr>
    </w:p>
    <w:p w14:paraId="36E5DB11" w14:textId="4C233548" w:rsidR="00A62083" w:rsidRPr="00C3025E" w:rsidRDefault="00C3025E" w:rsidP="00B77B26">
      <w:pPr>
        <w:pStyle w:val="NoSpacing"/>
        <w:jc w:val="both"/>
        <w:rPr>
          <w:rFonts w:ascii="Century Gothic" w:hAnsi="Century Gothic"/>
        </w:rPr>
      </w:pPr>
      <w:r>
        <w:rPr>
          <w:rFonts w:ascii="Century Gothic" w:hAnsi="Century Gothic"/>
        </w:rPr>
        <w:t>It could well be that</w:t>
      </w:r>
      <w:r w:rsidR="00B61B64">
        <w:rPr>
          <w:rFonts w:ascii="Century Gothic" w:hAnsi="Century Gothic"/>
        </w:rPr>
        <w:t>,</w:t>
      </w:r>
      <w:r>
        <w:rPr>
          <w:rFonts w:ascii="Century Gothic" w:hAnsi="Century Gothic"/>
        </w:rPr>
        <w:t xml:space="preserve"> </w:t>
      </w:r>
      <w:r w:rsidR="00B167E8">
        <w:rPr>
          <w:rFonts w:ascii="Century Gothic" w:hAnsi="Century Gothic"/>
        </w:rPr>
        <w:t xml:space="preserve">mindful of the International Accounting Standards in practice globally, </w:t>
      </w:r>
      <w:r>
        <w:rPr>
          <w:rFonts w:ascii="Century Gothic" w:hAnsi="Century Gothic"/>
        </w:rPr>
        <w:t>the</w:t>
      </w:r>
      <w:r w:rsidRPr="00C3025E">
        <w:rPr>
          <w:rFonts w:ascii="Century Gothic" w:hAnsi="Century Gothic"/>
        </w:rPr>
        <w:t xml:space="preserve"> ITA 1967</w:t>
      </w:r>
      <w:r>
        <w:rPr>
          <w:rFonts w:ascii="Century Gothic" w:hAnsi="Century Gothic"/>
        </w:rPr>
        <w:t xml:space="preserve"> and the Income Tax statutes in the British Commonwealth of nations, and </w:t>
      </w:r>
      <w:r w:rsidR="00B167E8">
        <w:rPr>
          <w:rFonts w:ascii="Century Gothic" w:hAnsi="Century Gothic"/>
        </w:rPr>
        <w:t xml:space="preserve">other </w:t>
      </w:r>
      <w:r>
        <w:rPr>
          <w:rFonts w:ascii="Century Gothic" w:hAnsi="Century Gothic"/>
        </w:rPr>
        <w:t xml:space="preserve">similar jurisdictions, are </w:t>
      </w:r>
      <w:r w:rsidRPr="00C3025E">
        <w:rPr>
          <w:rFonts w:ascii="Century Gothic" w:hAnsi="Century Gothic"/>
          <w:i/>
        </w:rPr>
        <w:t>in</w:t>
      </w:r>
      <w:r w:rsidR="00422A90">
        <w:rPr>
          <w:rFonts w:ascii="Century Gothic" w:hAnsi="Century Gothic"/>
          <w:i/>
        </w:rPr>
        <w:t xml:space="preserve"> </w:t>
      </w:r>
      <w:r w:rsidRPr="00C3025E">
        <w:rPr>
          <w:rFonts w:ascii="Century Gothic" w:hAnsi="Century Gothic"/>
          <w:i/>
        </w:rPr>
        <w:t xml:space="preserve">pari </w:t>
      </w:r>
      <w:r w:rsidR="00422A90">
        <w:rPr>
          <w:rFonts w:ascii="Century Gothic" w:hAnsi="Century Gothic"/>
          <w:i/>
        </w:rPr>
        <w:t xml:space="preserve"> </w:t>
      </w:r>
      <w:r w:rsidRPr="00C3025E">
        <w:rPr>
          <w:rFonts w:ascii="Century Gothic" w:hAnsi="Century Gothic"/>
          <w:i/>
        </w:rPr>
        <w:t>materia.</w:t>
      </w:r>
    </w:p>
    <w:p w14:paraId="3643B33D" w14:textId="5E3FF0D8" w:rsidR="00C3025E" w:rsidRDefault="00C3025E" w:rsidP="00B77B26">
      <w:pPr>
        <w:pStyle w:val="NoSpacing"/>
        <w:jc w:val="both"/>
        <w:rPr>
          <w:rFonts w:ascii="Century Gothic" w:hAnsi="Century Gothic"/>
          <w:b/>
        </w:rPr>
      </w:pPr>
    </w:p>
    <w:p w14:paraId="56076576" w14:textId="77777777" w:rsidR="00C3025E" w:rsidRDefault="00C3025E" w:rsidP="00B77B26">
      <w:pPr>
        <w:pStyle w:val="NoSpacing"/>
        <w:jc w:val="both"/>
        <w:rPr>
          <w:rFonts w:ascii="Century Gothic" w:hAnsi="Century Gothic"/>
          <w:b/>
        </w:rPr>
      </w:pPr>
    </w:p>
    <w:p w14:paraId="6D37E3F6" w14:textId="17206447" w:rsidR="00161BFE" w:rsidRPr="00F7317A" w:rsidRDefault="00C3025E" w:rsidP="00B77B26">
      <w:pPr>
        <w:pStyle w:val="NoSpacing"/>
        <w:jc w:val="both"/>
        <w:rPr>
          <w:rFonts w:ascii="Century Gothic" w:hAnsi="Century Gothic"/>
          <w:b/>
        </w:rPr>
      </w:pPr>
      <w:r>
        <w:rPr>
          <w:rFonts w:ascii="Century Gothic" w:hAnsi="Century Gothic"/>
          <w:b/>
        </w:rPr>
        <w:t xml:space="preserve">f) </w:t>
      </w:r>
      <w:r w:rsidR="00161BFE" w:rsidRPr="00A11435">
        <w:rPr>
          <w:rFonts w:ascii="Century Gothic" w:hAnsi="Century Gothic"/>
          <w:b/>
          <w:u w:val="single"/>
        </w:rPr>
        <w:t>The Authorities</w:t>
      </w:r>
      <w:r w:rsidR="00161BFE" w:rsidRPr="00F7317A">
        <w:rPr>
          <w:rFonts w:ascii="Century Gothic" w:hAnsi="Century Gothic"/>
          <w:b/>
        </w:rPr>
        <w:t xml:space="preserve"> </w:t>
      </w:r>
    </w:p>
    <w:p w14:paraId="3C150E80" w14:textId="5A2DD109" w:rsidR="00862947" w:rsidRDefault="00862947" w:rsidP="00B77B26">
      <w:pPr>
        <w:pStyle w:val="NoSpacing"/>
        <w:jc w:val="both"/>
        <w:rPr>
          <w:rFonts w:ascii="Century Gothic" w:hAnsi="Century Gothic"/>
        </w:rPr>
      </w:pPr>
    </w:p>
    <w:p w14:paraId="6B5FD4BA" w14:textId="3715C547" w:rsidR="00CC5DB4" w:rsidRPr="00AB23AB" w:rsidRDefault="00A11435" w:rsidP="00B77B26">
      <w:pPr>
        <w:pStyle w:val="NoSpacing"/>
        <w:jc w:val="both"/>
        <w:rPr>
          <w:rFonts w:ascii="Century Gothic" w:hAnsi="Century Gothic"/>
          <w:b/>
        </w:rPr>
      </w:pPr>
      <w:r>
        <w:rPr>
          <w:rFonts w:ascii="Century Gothic" w:hAnsi="Century Gothic"/>
          <w:b/>
        </w:rPr>
        <w:t>i</w:t>
      </w:r>
      <w:r w:rsidR="00CC5DB4" w:rsidRPr="00AB23AB">
        <w:rPr>
          <w:rFonts w:ascii="Century Gothic" w:hAnsi="Century Gothic"/>
          <w:b/>
        </w:rPr>
        <w:t xml:space="preserve">)  </w:t>
      </w:r>
      <w:r w:rsidR="00747178" w:rsidRPr="00AB23AB">
        <w:rPr>
          <w:rFonts w:ascii="Century Gothic" w:hAnsi="Century Gothic"/>
          <w:b/>
          <w:u w:val="single"/>
        </w:rPr>
        <w:t>Riley on Business Interruption And Consequential Loss Insurances And Claims</w:t>
      </w:r>
      <w:r w:rsidR="00CC5DB4" w:rsidRPr="00AB23AB">
        <w:rPr>
          <w:rFonts w:ascii="Century Gothic" w:hAnsi="Century Gothic"/>
          <w:b/>
        </w:rPr>
        <w:t xml:space="preserve"> </w:t>
      </w:r>
    </w:p>
    <w:p w14:paraId="0C0940F5" w14:textId="3F9FD1CB" w:rsidR="00CC5DB4" w:rsidRDefault="00CC5DB4" w:rsidP="00B77B26">
      <w:pPr>
        <w:pStyle w:val="NoSpacing"/>
        <w:jc w:val="both"/>
        <w:rPr>
          <w:rFonts w:ascii="Century Gothic" w:hAnsi="Century Gothic"/>
        </w:rPr>
      </w:pPr>
      <w:r>
        <w:rPr>
          <w:rFonts w:ascii="Century Gothic" w:hAnsi="Century Gothic"/>
        </w:rPr>
        <w:t xml:space="preserve">     </w:t>
      </w:r>
      <w:r w:rsidRPr="00CC5DB4">
        <w:rPr>
          <w:rFonts w:ascii="Century Gothic" w:hAnsi="Century Gothic"/>
        </w:rPr>
        <w:t xml:space="preserve"> </w:t>
      </w:r>
      <w:r w:rsidR="00681859">
        <w:rPr>
          <w:rFonts w:ascii="Century Gothic" w:hAnsi="Century Gothic"/>
        </w:rPr>
        <w:t xml:space="preserve">First edition by Denis Riley. </w:t>
      </w:r>
      <w:r w:rsidRPr="00CC5DB4">
        <w:rPr>
          <w:rFonts w:ascii="Century Gothic" w:hAnsi="Century Gothic"/>
        </w:rPr>
        <w:t>(Riley)</w:t>
      </w:r>
    </w:p>
    <w:p w14:paraId="70E1F32A" w14:textId="77777777" w:rsidR="00CC5DB4" w:rsidRDefault="00CC5DB4" w:rsidP="00B77B26">
      <w:pPr>
        <w:pStyle w:val="NoSpacing"/>
        <w:jc w:val="both"/>
        <w:rPr>
          <w:rFonts w:ascii="Century Gothic" w:hAnsi="Century Gothic"/>
        </w:rPr>
      </w:pPr>
    </w:p>
    <w:p w14:paraId="15FEA4AC" w14:textId="694204BD" w:rsidR="00F7317A" w:rsidRDefault="00875CB8" w:rsidP="00B77B26">
      <w:pPr>
        <w:pStyle w:val="NoSpacing"/>
        <w:jc w:val="both"/>
        <w:rPr>
          <w:rFonts w:ascii="Century Gothic" w:hAnsi="Century Gothic"/>
        </w:rPr>
      </w:pPr>
      <w:r>
        <w:rPr>
          <w:rFonts w:ascii="Century Gothic" w:hAnsi="Century Gothic"/>
        </w:rPr>
        <w:lastRenderedPageBreak/>
        <w:t>Rlley</w:t>
      </w:r>
      <w:r w:rsidR="00747178">
        <w:rPr>
          <w:rFonts w:ascii="Century Gothic" w:hAnsi="Century Gothic"/>
        </w:rPr>
        <w:t xml:space="preserve"> is </w:t>
      </w:r>
      <w:r w:rsidR="00D60DE6">
        <w:rPr>
          <w:rFonts w:ascii="Century Gothic" w:hAnsi="Century Gothic"/>
        </w:rPr>
        <w:t xml:space="preserve">conceivably </w:t>
      </w:r>
      <w:r w:rsidR="00747178">
        <w:rPr>
          <w:rFonts w:ascii="Century Gothic" w:hAnsi="Century Gothic"/>
        </w:rPr>
        <w:t>the most renowned</w:t>
      </w:r>
      <w:r w:rsidR="00CC5DB4">
        <w:rPr>
          <w:rFonts w:ascii="Century Gothic" w:hAnsi="Century Gothic"/>
        </w:rPr>
        <w:t xml:space="preserve">, </w:t>
      </w:r>
      <w:r w:rsidR="00747178">
        <w:rPr>
          <w:rFonts w:ascii="Century Gothic" w:hAnsi="Century Gothic"/>
        </w:rPr>
        <w:t xml:space="preserve">widely acclaimed </w:t>
      </w:r>
      <w:r w:rsidR="00CC5DB4">
        <w:rPr>
          <w:rFonts w:ascii="Century Gothic" w:hAnsi="Century Gothic"/>
        </w:rPr>
        <w:t xml:space="preserve">and foremost </w:t>
      </w:r>
      <w:r w:rsidR="00747178">
        <w:rPr>
          <w:rFonts w:ascii="Century Gothic" w:hAnsi="Century Gothic"/>
        </w:rPr>
        <w:t xml:space="preserve">authority </w:t>
      </w:r>
      <w:r w:rsidR="000048AB">
        <w:rPr>
          <w:rFonts w:ascii="Century Gothic" w:hAnsi="Century Gothic"/>
        </w:rPr>
        <w:t>on Business Interruption insurance</w:t>
      </w:r>
      <w:r>
        <w:rPr>
          <w:rFonts w:ascii="Century Gothic" w:hAnsi="Century Gothic"/>
        </w:rPr>
        <w:t>,</w:t>
      </w:r>
      <w:r w:rsidR="00D60DE6">
        <w:rPr>
          <w:rFonts w:ascii="Century Gothic" w:hAnsi="Century Gothic"/>
        </w:rPr>
        <w:t xml:space="preserve"> with its first edition </w:t>
      </w:r>
      <w:r>
        <w:rPr>
          <w:rFonts w:ascii="Century Gothic" w:hAnsi="Century Gothic"/>
        </w:rPr>
        <w:t xml:space="preserve">by Denis Riley, </w:t>
      </w:r>
      <w:r w:rsidR="00D60DE6">
        <w:rPr>
          <w:rFonts w:ascii="Century Gothic" w:hAnsi="Century Gothic"/>
        </w:rPr>
        <w:t>launched in 1956.</w:t>
      </w:r>
    </w:p>
    <w:p w14:paraId="75F96C8E" w14:textId="48BE40E8" w:rsidR="00D60DE6" w:rsidRDefault="00D60DE6" w:rsidP="00B77B26">
      <w:pPr>
        <w:pStyle w:val="NoSpacing"/>
        <w:jc w:val="both"/>
        <w:rPr>
          <w:rFonts w:ascii="Century Gothic" w:hAnsi="Century Gothic"/>
        </w:rPr>
      </w:pPr>
    </w:p>
    <w:p w14:paraId="45CCD162" w14:textId="668FE3CE" w:rsidR="00E00B3E" w:rsidRDefault="00E00B3E" w:rsidP="00B77B26">
      <w:pPr>
        <w:pStyle w:val="NoSpacing"/>
        <w:jc w:val="both"/>
        <w:rPr>
          <w:rFonts w:ascii="Century Gothic" w:hAnsi="Century Gothic"/>
        </w:rPr>
      </w:pPr>
      <w:r>
        <w:rPr>
          <w:rFonts w:ascii="Century Gothic" w:hAnsi="Century Gothic"/>
        </w:rPr>
        <w:t>In the preface to its fifth edition</w:t>
      </w:r>
      <w:r w:rsidR="00746702">
        <w:rPr>
          <w:rFonts w:ascii="Century Gothic" w:hAnsi="Century Gothic"/>
        </w:rPr>
        <w:t xml:space="preserve"> </w:t>
      </w:r>
      <w:r>
        <w:rPr>
          <w:rFonts w:ascii="Century Gothic" w:hAnsi="Century Gothic"/>
        </w:rPr>
        <w:t>of R</w:t>
      </w:r>
      <w:r w:rsidR="00D0035C">
        <w:rPr>
          <w:rFonts w:ascii="Century Gothic" w:hAnsi="Century Gothic"/>
        </w:rPr>
        <w:t>iley</w:t>
      </w:r>
      <w:r>
        <w:rPr>
          <w:rFonts w:ascii="Century Gothic" w:hAnsi="Century Gothic"/>
        </w:rPr>
        <w:t xml:space="preserve">, the learned author averred, among other things, “There are many diverse circumstances in the world of industry and commerce, </w:t>
      </w:r>
      <w:r w:rsidRPr="00944B5F">
        <w:rPr>
          <w:rFonts w:ascii="Century Gothic" w:hAnsi="Century Gothic"/>
          <w:b/>
        </w:rPr>
        <w:t>accountancy practice varies considerably in the treatment of company accounts</w:t>
      </w:r>
      <w:r>
        <w:rPr>
          <w:rFonts w:ascii="Century Gothic" w:hAnsi="Century Gothic"/>
        </w:rPr>
        <w:t xml:space="preserve">, </w:t>
      </w:r>
      <w:r w:rsidR="00AB661E">
        <w:rPr>
          <w:rFonts w:ascii="Century Gothic" w:hAnsi="Century Gothic"/>
        </w:rPr>
        <w:t xml:space="preserve">(emphasis added) </w:t>
      </w:r>
      <w:r>
        <w:rPr>
          <w:rFonts w:ascii="Century Gothic" w:hAnsi="Century Gothic"/>
        </w:rPr>
        <w:t xml:space="preserve">and above all it is impossible to visualise all the unpredictable conditions which after a fire materialise in connection with any individual business. Hence, </w:t>
      </w:r>
      <w:r w:rsidRPr="008A7A7E">
        <w:rPr>
          <w:rFonts w:ascii="Century Gothic" w:hAnsi="Century Gothic"/>
          <w:b/>
        </w:rPr>
        <w:t xml:space="preserve">it is essential to consider any such insurance </w:t>
      </w:r>
      <w:r w:rsidR="00746702" w:rsidRPr="008A7A7E">
        <w:rPr>
          <w:rFonts w:ascii="Century Gothic" w:hAnsi="Century Gothic"/>
          <w:b/>
        </w:rPr>
        <w:t>in the context of the circumstances of the particular business and to apply the accepted principles in the ways which seem most appropriate, which may mean that one cannot always “go by the book</w:t>
      </w:r>
      <w:r w:rsidR="00746702">
        <w:rPr>
          <w:rFonts w:ascii="Century Gothic" w:hAnsi="Century Gothic"/>
        </w:rPr>
        <w:t>”’</w:t>
      </w:r>
      <w:r w:rsidR="00746702">
        <w:rPr>
          <w:rStyle w:val="FootnoteReference"/>
          <w:rFonts w:ascii="Century Gothic" w:hAnsi="Century Gothic"/>
        </w:rPr>
        <w:footnoteReference w:id="17"/>
      </w:r>
      <w:r w:rsidR="008A7A7E">
        <w:rPr>
          <w:rFonts w:ascii="Century Gothic" w:hAnsi="Century Gothic"/>
        </w:rPr>
        <w:t xml:space="preserve"> (Emphasis added)</w:t>
      </w:r>
    </w:p>
    <w:p w14:paraId="0CCF8F72" w14:textId="77777777" w:rsidR="00E00B3E" w:rsidRDefault="00E00B3E" w:rsidP="00B77B26">
      <w:pPr>
        <w:pStyle w:val="NoSpacing"/>
        <w:jc w:val="both"/>
        <w:rPr>
          <w:rFonts w:ascii="Century Gothic" w:hAnsi="Century Gothic"/>
        </w:rPr>
      </w:pPr>
    </w:p>
    <w:p w14:paraId="4CCA1339" w14:textId="30D57776" w:rsidR="00D016F3" w:rsidRDefault="00D016F3" w:rsidP="00B77B26">
      <w:pPr>
        <w:pStyle w:val="NoSpacing"/>
        <w:jc w:val="both"/>
        <w:rPr>
          <w:rFonts w:ascii="Century Gothic" w:hAnsi="Century Gothic"/>
        </w:rPr>
      </w:pPr>
      <w:r>
        <w:rPr>
          <w:rFonts w:ascii="Century Gothic" w:hAnsi="Century Gothic"/>
        </w:rPr>
        <w:t>Reference is made here to the sixth edition</w:t>
      </w:r>
      <w:r w:rsidR="00056A10">
        <w:rPr>
          <w:rFonts w:ascii="Century Gothic" w:hAnsi="Century Gothic"/>
        </w:rPr>
        <w:t xml:space="preserve"> </w:t>
      </w:r>
      <w:r w:rsidR="00CA241B">
        <w:rPr>
          <w:rFonts w:ascii="Century Gothic" w:hAnsi="Century Gothic"/>
        </w:rPr>
        <w:t xml:space="preserve">to Riley updated and edited </w:t>
      </w:r>
      <w:r w:rsidR="00CC5DB4">
        <w:rPr>
          <w:rFonts w:ascii="Century Gothic" w:hAnsi="Century Gothic"/>
        </w:rPr>
        <w:t>by David Cl</w:t>
      </w:r>
      <w:r w:rsidR="00321BB0">
        <w:rPr>
          <w:rFonts w:ascii="Century Gothic" w:hAnsi="Century Gothic"/>
        </w:rPr>
        <w:t>o</w:t>
      </w:r>
      <w:r w:rsidR="00CC5DB4">
        <w:rPr>
          <w:rFonts w:ascii="Century Gothic" w:hAnsi="Century Gothic"/>
        </w:rPr>
        <w:t xml:space="preserve">ughton BA (Hons); FCII, </w:t>
      </w:r>
      <w:r w:rsidR="00056A10">
        <w:rPr>
          <w:rFonts w:ascii="Century Gothic" w:hAnsi="Century Gothic"/>
        </w:rPr>
        <w:t>published</w:t>
      </w:r>
      <w:r>
        <w:rPr>
          <w:rFonts w:ascii="Century Gothic" w:hAnsi="Century Gothic"/>
        </w:rPr>
        <w:t xml:space="preserve"> in 1985.</w:t>
      </w:r>
    </w:p>
    <w:p w14:paraId="04621A36" w14:textId="42942D82" w:rsidR="00AB661E" w:rsidRDefault="00AB661E" w:rsidP="00B77B26">
      <w:pPr>
        <w:pStyle w:val="NoSpacing"/>
        <w:jc w:val="both"/>
        <w:rPr>
          <w:rFonts w:ascii="Century Gothic" w:hAnsi="Century Gothic"/>
        </w:rPr>
      </w:pPr>
    </w:p>
    <w:p w14:paraId="29026FBD" w14:textId="26807DB2" w:rsidR="00AB661E" w:rsidRDefault="00CA241B" w:rsidP="00B77B26">
      <w:pPr>
        <w:pStyle w:val="NoSpacing"/>
        <w:jc w:val="both"/>
        <w:rPr>
          <w:rFonts w:ascii="Century Gothic" w:hAnsi="Century Gothic"/>
        </w:rPr>
      </w:pPr>
      <w:r>
        <w:rPr>
          <w:rFonts w:ascii="Century Gothic" w:hAnsi="Century Gothic"/>
        </w:rPr>
        <w:t>At paragraph 174</w:t>
      </w:r>
      <w:r w:rsidR="008A7A7E">
        <w:rPr>
          <w:rStyle w:val="FootnoteReference"/>
          <w:rFonts w:ascii="Century Gothic" w:hAnsi="Century Gothic"/>
        </w:rPr>
        <w:footnoteReference w:id="18"/>
      </w:r>
      <w:r>
        <w:rPr>
          <w:rFonts w:ascii="Century Gothic" w:hAnsi="Century Gothic"/>
        </w:rPr>
        <w:t xml:space="preserve">, </w:t>
      </w:r>
      <w:r w:rsidR="005D5C9A">
        <w:rPr>
          <w:rFonts w:ascii="Century Gothic" w:hAnsi="Century Gothic"/>
        </w:rPr>
        <w:t xml:space="preserve">David </w:t>
      </w:r>
      <w:r>
        <w:rPr>
          <w:rFonts w:ascii="Century Gothic" w:hAnsi="Century Gothic"/>
        </w:rPr>
        <w:t>C</w:t>
      </w:r>
      <w:r w:rsidR="005D5C9A">
        <w:rPr>
          <w:rFonts w:ascii="Century Gothic" w:hAnsi="Century Gothic"/>
        </w:rPr>
        <w:t>l</w:t>
      </w:r>
      <w:r>
        <w:rPr>
          <w:rFonts w:ascii="Century Gothic" w:hAnsi="Century Gothic"/>
        </w:rPr>
        <w:t xml:space="preserve">oughton </w:t>
      </w:r>
      <w:r w:rsidR="005D5C9A">
        <w:rPr>
          <w:rFonts w:ascii="Century Gothic" w:hAnsi="Century Gothic"/>
        </w:rPr>
        <w:t xml:space="preserve">asserted, inter alia, </w:t>
      </w:r>
      <w:r w:rsidR="005D5C9A" w:rsidRPr="00230731">
        <w:rPr>
          <w:rFonts w:ascii="Century Gothic" w:hAnsi="Century Gothic"/>
          <w:b/>
        </w:rPr>
        <w:t>Depreciation</w:t>
      </w:r>
      <w:r w:rsidR="005D5C9A">
        <w:rPr>
          <w:rFonts w:ascii="Century Gothic" w:hAnsi="Century Gothic"/>
        </w:rPr>
        <w:t xml:space="preserve"> “</w:t>
      </w:r>
      <w:r w:rsidR="005D5C9A" w:rsidRPr="008A7A7E">
        <w:rPr>
          <w:rFonts w:ascii="Century Gothic" w:hAnsi="Century Gothic"/>
          <w:b/>
        </w:rPr>
        <w:t xml:space="preserve">often gives </w:t>
      </w:r>
      <w:r w:rsidR="008A7A7E" w:rsidRPr="008A7A7E">
        <w:rPr>
          <w:rFonts w:ascii="Century Gothic" w:hAnsi="Century Gothic"/>
          <w:b/>
        </w:rPr>
        <w:t xml:space="preserve">rise </w:t>
      </w:r>
      <w:r w:rsidR="005D5C9A" w:rsidRPr="008A7A7E">
        <w:rPr>
          <w:rFonts w:ascii="Century Gothic" w:hAnsi="Century Gothic"/>
          <w:b/>
        </w:rPr>
        <w:t xml:space="preserve">to the argument that it is not a standing charge </w:t>
      </w:r>
      <w:r w:rsidR="005D5C9A">
        <w:rPr>
          <w:rFonts w:ascii="Century Gothic" w:hAnsi="Century Gothic"/>
        </w:rPr>
        <w:t>because if building and plant are destroyed depreciation will either cease altogether or be reduced in proportion to the amount of damage done. But as explained in the preamble</w:t>
      </w:r>
      <w:r w:rsidR="00773D27">
        <w:rPr>
          <w:rFonts w:ascii="Century Gothic" w:hAnsi="Century Gothic"/>
        </w:rPr>
        <w:t>…’</w:t>
      </w:r>
    </w:p>
    <w:p w14:paraId="2A62EBFC" w14:textId="3003DF9D" w:rsidR="00773D27" w:rsidRDefault="00773D27" w:rsidP="00773D27">
      <w:pPr>
        <w:pStyle w:val="NoSpacing"/>
        <w:jc w:val="both"/>
        <w:rPr>
          <w:rFonts w:ascii="Century Gothic" w:hAnsi="Century Gothic"/>
        </w:rPr>
      </w:pPr>
    </w:p>
    <w:p w14:paraId="1FA6654D" w14:textId="35CDD79D" w:rsidR="00773D27" w:rsidRDefault="00773D27" w:rsidP="00B77B26">
      <w:pPr>
        <w:pStyle w:val="NoSpacing"/>
        <w:jc w:val="both"/>
        <w:rPr>
          <w:rFonts w:ascii="Century Gothic" w:hAnsi="Century Gothic"/>
        </w:rPr>
      </w:pPr>
      <w:r>
        <w:rPr>
          <w:rFonts w:ascii="Century Gothic" w:hAnsi="Century Gothic"/>
        </w:rPr>
        <w:t>In the preamble at paragraph 121</w:t>
      </w:r>
      <w:r>
        <w:rPr>
          <w:rStyle w:val="FootnoteReference"/>
          <w:rFonts w:ascii="Century Gothic" w:hAnsi="Century Gothic"/>
        </w:rPr>
        <w:footnoteReference w:id="19"/>
      </w:r>
      <w:r>
        <w:rPr>
          <w:rFonts w:ascii="Century Gothic" w:hAnsi="Century Gothic"/>
        </w:rPr>
        <w:t>, David Cloughton added “….</w:t>
      </w:r>
      <w:r w:rsidRPr="00773D27">
        <w:rPr>
          <w:rFonts w:ascii="Century Gothic" w:hAnsi="Century Gothic"/>
          <w:b/>
        </w:rPr>
        <w:t>some charges</w:t>
      </w:r>
      <w:r>
        <w:rPr>
          <w:rFonts w:ascii="Century Gothic" w:hAnsi="Century Gothic"/>
        </w:rPr>
        <w:t xml:space="preserve"> may be termed borderline and some </w:t>
      </w:r>
      <w:r w:rsidRPr="00773D27">
        <w:rPr>
          <w:rFonts w:ascii="Century Gothic" w:hAnsi="Century Gothic"/>
          <w:b/>
        </w:rPr>
        <w:t>are definitely optional</w:t>
      </w:r>
      <w:r>
        <w:rPr>
          <w:rFonts w:ascii="Century Gothic" w:hAnsi="Century Gothic"/>
        </w:rPr>
        <w:t>” (Emphasis added).</w:t>
      </w:r>
    </w:p>
    <w:p w14:paraId="69873C6B" w14:textId="77777777" w:rsidR="00A62083" w:rsidRDefault="00A62083" w:rsidP="00B77B26">
      <w:pPr>
        <w:pStyle w:val="NoSpacing"/>
        <w:jc w:val="both"/>
        <w:rPr>
          <w:rFonts w:ascii="Century Gothic" w:hAnsi="Century Gothic"/>
        </w:rPr>
      </w:pPr>
    </w:p>
    <w:p w14:paraId="42001753" w14:textId="2B11EB93" w:rsidR="00773D27" w:rsidRDefault="00773D27" w:rsidP="00B77B26">
      <w:pPr>
        <w:pStyle w:val="NoSpacing"/>
        <w:jc w:val="both"/>
        <w:rPr>
          <w:rFonts w:ascii="Century Gothic" w:hAnsi="Century Gothic"/>
        </w:rPr>
      </w:pPr>
      <w:r>
        <w:rPr>
          <w:rFonts w:ascii="Century Gothic" w:hAnsi="Century Gothic"/>
        </w:rPr>
        <w:t xml:space="preserve">Back to paragraph 174, the learned author echoed Denis Riley that “There is a further </w:t>
      </w:r>
      <w:r w:rsidRPr="00510385">
        <w:rPr>
          <w:rFonts w:ascii="Century Gothic" w:hAnsi="Century Gothic"/>
          <w:b/>
        </w:rPr>
        <w:t xml:space="preserve">reason for </w:t>
      </w:r>
      <w:r w:rsidR="00510385" w:rsidRPr="00510385">
        <w:rPr>
          <w:rFonts w:ascii="Century Gothic" w:hAnsi="Century Gothic"/>
          <w:b/>
        </w:rPr>
        <w:t>insuring depreciation</w:t>
      </w:r>
      <w:r w:rsidR="00510385">
        <w:rPr>
          <w:rFonts w:ascii="Century Gothic" w:hAnsi="Century Gothic"/>
        </w:rPr>
        <w:t xml:space="preserve">. </w:t>
      </w:r>
      <w:r w:rsidR="00510385" w:rsidRPr="00510385">
        <w:rPr>
          <w:rFonts w:ascii="Century Gothic" w:hAnsi="Century Gothic"/>
          <w:b/>
        </w:rPr>
        <w:t>There is no uniformity in the accountancy practice in the method of calculating depreciation”</w:t>
      </w:r>
      <w:r w:rsidR="00510385">
        <w:rPr>
          <w:rFonts w:ascii="Century Gothic" w:hAnsi="Century Gothic"/>
        </w:rPr>
        <w:t xml:space="preserve"> (Emphasis added).</w:t>
      </w:r>
    </w:p>
    <w:p w14:paraId="3DD0D8EC" w14:textId="101EAFCD" w:rsidR="004B07AB" w:rsidRDefault="004B07AB" w:rsidP="00B77B26">
      <w:pPr>
        <w:pStyle w:val="NoSpacing"/>
        <w:jc w:val="both"/>
        <w:rPr>
          <w:rFonts w:ascii="Century Gothic" w:hAnsi="Century Gothic"/>
        </w:rPr>
      </w:pPr>
    </w:p>
    <w:p w14:paraId="044B0BB1" w14:textId="472CBB84" w:rsidR="004B07AB" w:rsidRDefault="004B07AB" w:rsidP="00B77B26">
      <w:pPr>
        <w:pStyle w:val="NoSpacing"/>
        <w:jc w:val="both"/>
        <w:rPr>
          <w:rFonts w:ascii="Century Gothic" w:hAnsi="Century Gothic"/>
        </w:rPr>
      </w:pPr>
      <w:r>
        <w:rPr>
          <w:rFonts w:ascii="Century Gothic" w:hAnsi="Century Gothic"/>
        </w:rPr>
        <w:t>It is rather preposterous that the reason for insuring depreciation is attributed to inconsistency in the accounting practices on depreciation.</w:t>
      </w:r>
    </w:p>
    <w:p w14:paraId="1A229058" w14:textId="3B084E32" w:rsidR="004B07AB" w:rsidRDefault="004B07AB" w:rsidP="00B77B26">
      <w:pPr>
        <w:pStyle w:val="NoSpacing"/>
        <w:jc w:val="both"/>
        <w:rPr>
          <w:rFonts w:ascii="Century Gothic" w:hAnsi="Century Gothic"/>
        </w:rPr>
      </w:pPr>
    </w:p>
    <w:p w14:paraId="48AC9FEB" w14:textId="467C2849" w:rsidR="004B07AB" w:rsidRDefault="004B07AB" w:rsidP="00B77B26">
      <w:pPr>
        <w:pStyle w:val="NoSpacing"/>
        <w:jc w:val="both"/>
        <w:rPr>
          <w:rFonts w:ascii="Century Gothic" w:hAnsi="Century Gothic"/>
        </w:rPr>
      </w:pPr>
      <w:r>
        <w:rPr>
          <w:rFonts w:ascii="Century Gothic" w:hAnsi="Century Gothic"/>
        </w:rPr>
        <w:t xml:space="preserve">Moving on the same paragraph 121, Riley asserted that the “the fundamental principle that in order to protect the net profit of a business it is essential to insure net profit plus those charges which will not fall proportionately </w:t>
      </w:r>
      <w:r w:rsidR="003419B2">
        <w:rPr>
          <w:rFonts w:ascii="Century Gothic" w:hAnsi="Century Gothic"/>
        </w:rPr>
        <w:t>with a d</w:t>
      </w:r>
      <w:r w:rsidR="00A40163">
        <w:rPr>
          <w:rFonts w:ascii="Century Gothic" w:hAnsi="Century Gothic"/>
        </w:rPr>
        <w:t>rop</w:t>
      </w:r>
      <w:r w:rsidR="00B61B64">
        <w:rPr>
          <w:rFonts w:ascii="Century Gothic" w:hAnsi="Century Gothic"/>
        </w:rPr>
        <w:t xml:space="preserve"> </w:t>
      </w:r>
      <w:r w:rsidR="003419B2">
        <w:rPr>
          <w:rFonts w:ascii="Century Gothic" w:hAnsi="Century Gothic"/>
        </w:rPr>
        <w:t xml:space="preserve">in turnover. From this a working definition can be drawn, namely, that </w:t>
      </w:r>
      <w:r w:rsidR="003419B2" w:rsidRPr="00A40163">
        <w:rPr>
          <w:rFonts w:ascii="Century Gothic" w:hAnsi="Century Gothic"/>
          <w:b/>
          <w:i/>
        </w:rPr>
        <w:t>an insurable standing</w:t>
      </w:r>
      <w:r w:rsidR="003419B2" w:rsidRPr="00A40163">
        <w:rPr>
          <w:rFonts w:ascii="Century Gothic" w:hAnsi="Century Gothic"/>
          <w:b/>
        </w:rPr>
        <w:t xml:space="preserve"> </w:t>
      </w:r>
      <w:r w:rsidR="003419B2" w:rsidRPr="00A40163">
        <w:rPr>
          <w:rFonts w:ascii="Century Gothic" w:hAnsi="Century Gothic"/>
          <w:b/>
          <w:i/>
        </w:rPr>
        <w:t xml:space="preserve">charge is one which might not diminish proportionately with a reduction in </w:t>
      </w:r>
      <w:r w:rsidR="003419B2" w:rsidRPr="00A40163">
        <w:rPr>
          <w:rFonts w:ascii="Century Gothic" w:hAnsi="Century Gothic"/>
          <w:i/>
        </w:rPr>
        <w:t xml:space="preserve"> </w:t>
      </w:r>
      <w:r w:rsidR="003419B2" w:rsidRPr="00A40163">
        <w:rPr>
          <w:rFonts w:ascii="Century Gothic" w:hAnsi="Century Gothic"/>
          <w:b/>
          <w:i/>
        </w:rPr>
        <w:t>turnover if</w:t>
      </w:r>
      <w:r w:rsidR="003419B2" w:rsidRPr="00A40163">
        <w:rPr>
          <w:rFonts w:ascii="Century Gothic" w:hAnsi="Century Gothic"/>
          <w:i/>
        </w:rPr>
        <w:t xml:space="preserve"> </w:t>
      </w:r>
      <w:r w:rsidR="003419B2" w:rsidRPr="00A40163">
        <w:rPr>
          <w:rFonts w:ascii="Century Gothic" w:hAnsi="Century Gothic"/>
          <w:b/>
          <w:i/>
        </w:rPr>
        <w:t>there is interruption of or interference with the business by any of the contingencies</w:t>
      </w:r>
      <w:r w:rsidR="003419B2" w:rsidRPr="00A40163">
        <w:rPr>
          <w:rFonts w:ascii="Century Gothic" w:hAnsi="Century Gothic"/>
          <w:i/>
        </w:rPr>
        <w:t xml:space="preserve"> </w:t>
      </w:r>
      <w:r w:rsidR="003419B2" w:rsidRPr="00A40163">
        <w:rPr>
          <w:rFonts w:ascii="Century Gothic" w:hAnsi="Century Gothic"/>
          <w:b/>
          <w:i/>
        </w:rPr>
        <w:t>insured against</w:t>
      </w:r>
      <w:r w:rsidR="003419B2" w:rsidRPr="00A40163">
        <w:rPr>
          <w:rFonts w:ascii="Century Gothic" w:hAnsi="Century Gothic"/>
        </w:rPr>
        <w:t>.</w:t>
      </w:r>
      <w:r w:rsidR="003419B2">
        <w:rPr>
          <w:rFonts w:ascii="Century Gothic" w:hAnsi="Century Gothic"/>
        </w:rPr>
        <w:t xml:space="preserve"> </w:t>
      </w:r>
      <w:r w:rsidR="00FB5FD0">
        <w:rPr>
          <w:rFonts w:ascii="Century Gothic" w:hAnsi="Century Gothic"/>
        </w:rPr>
        <w:t>t</w:t>
      </w:r>
      <w:r w:rsidR="003419B2">
        <w:rPr>
          <w:rFonts w:ascii="Century Gothic" w:hAnsi="Century Gothic"/>
        </w:rPr>
        <w:t xml:space="preserve">o which an important addition must be made – </w:t>
      </w:r>
      <w:r w:rsidR="003419B2" w:rsidRPr="00A40163">
        <w:rPr>
          <w:rFonts w:ascii="Century Gothic" w:hAnsi="Century Gothic"/>
          <w:i/>
        </w:rPr>
        <w:t>or any</w:t>
      </w:r>
      <w:r w:rsidR="003419B2" w:rsidRPr="00BC0D59">
        <w:rPr>
          <w:rFonts w:ascii="Century Gothic" w:hAnsi="Century Gothic"/>
          <w:b/>
          <w:i/>
        </w:rPr>
        <w:t xml:space="preserve"> variable</w:t>
      </w:r>
      <w:r w:rsidR="003419B2" w:rsidRPr="00A40163">
        <w:rPr>
          <w:rFonts w:ascii="Century Gothic" w:hAnsi="Century Gothic"/>
        </w:rPr>
        <w:t xml:space="preserve"> </w:t>
      </w:r>
      <w:r w:rsidR="003419B2" w:rsidRPr="00A40163">
        <w:rPr>
          <w:rFonts w:ascii="Century Gothic" w:hAnsi="Century Gothic"/>
          <w:b/>
          <w:i/>
        </w:rPr>
        <w:t>charge which</w:t>
      </w:r>
      <w:r w:rsidR="00A40163" w:rsidRPr="00A40163">
        <w:rPr>
          <w:rFonts w:ascii="Century Gothic" w:hAnsi="Century Gothic"/>
          <w:b/>
          <w:i/>
        </w:rPr>
        <w:t xml:space="preserve"> it</w:t>
      </w:r>
      <w:r w:rsidR="003419B2" w:rsidRPr="00A40163">
        <w:rPr>
          <w:rFonts w:ascii="Century Gothic" w:hAnsi="Century Gothic"/>
          <w:b/>
          <w:i/>
        </w:rPr>
        <w:t xml:space="preserve"> would be desirable to continue in the interest of the business</w:t>
      </w:r>
      <w:r w:rsidR="003419B2" w:rsidRPr="00A40163">
        <w:rPr>
          <w:rFonts w:ascii="Century Gothic" w:hAnsi="Century Gothic"/>
          <w:i/>
        </w:rPr>
        <w:t>.</w:t>
      </w:r>
      <w:r w:rsidR="003419B2">
        <w:rPr>
          <w:rFonts w:ascii="Century Gothic" w:hAnsi="Century Gothic"/>
        </w:rPr>
        <w:t xml:space="preserve"> </w:t>
      </w:r>
      <w:r w:rsidR="0026320D">
        <w:rPr>
          <w:rFonts w:ascii="Century Gothic" w:hAnsi="Century Gothic"/>
        </w:rPr>
        <w:t xml:space="preserve">(emphasis in italics) </w:t>
      </w:r>
      <w:r w:rsidR="003419B2" w:rsidRPr="0026320D">
        <w:rPr>
          <w:rFonts w:ascii="Century Gothic" w:hAnsi="Century Gothic"/>
          <w:b/>
        </w:rPr>
        <w:t>Those</w:t>
      </w:r>
      <w:r w:rsidR="003419B2">
        <w:rPr>
          <w:rFonts w:ascii="Century Gothic" w:hAnsi="Century Gothic"/>
        </w:rPr>
        <w:t xml:space="preserve"> </w:t>
      </w:r>
      <w:r w:rsidR="003419B2" w:rsidRPr="0026320D">
        <w:rPr>
          <w:rFonts w:ascii="Century Gothic" w:hAnsi="Century Gothic"/>
          <w:b/>
        </w:rPr>
        <w:t xml:space="preserve">in the latter category are referred to as </w:t>
      </w:r>
      <w:r w:rsidR="003419B2" w:rsidRPr="00472A15">
        <w:rPr>
          <w:rFonts w:ascii="Century Gothic" w:hAnsi="Century Gothic"/>
          <w:b/>
          <w:u w:val="single"/>
        </w:rPr>
        <w:t>optional charges</w:t>
      </w:r>
      <w:r w:rsidR="003419B2">
        <w:rPr>
          <w:rFonts w:ascii="Century Gothic" w:hAnsi="Century Gothic"/>
        </w:rPr>
        <w:t>” (</w:t>
      </w:r>
      <w:r w:rsidR="00A40163">
        <w:rPr>
          <w:rFonts w:ascii="Century Gothic" w:hAnsi="Century Gothic"/>
        </w:rPr>
        <w:t>emphasis</w:t>
      </w:r>
      <w:r w:rsidR="00FF1BDD">
        <w:rPr>
          <w:rFonts w:ascii="Century Gothic" w:hAnsi="Century Gothic"/>
        </w:rPr>
        <w:t xml:space="preserve"> in italics</w:t>
      </w:r>
      <w:r w:rsidR="003419B2">
        <w:rPr>
          <w:rFonts w:ascii="Century Gothic" w:hAnsi="Century Gothic"/>
        </w:rPr>
        <w:t>)</w:t>
      </w:r>
      <w:r w:rsidR="0026320D">
        <w:rPr>
          <w:rFonts w:ascii="Century Gothic" w:hAnsi="Century Gothic"/>
        </w:rPr>
        <w:t>.</w:t>
      </w:r>
    </w:p>
    <w:p w14:paraId="4BF2D661" w14:textId="3E1719A9" w:rsidR="0026320D" w:rsidRDefault="0026320D" w:rsidP="00B77B26">
      <w:pPr>
        <w:pStyle w:val="NoSpacing"/>
        <w:jc w:val="both"/>
        <w:rPr>
          <w:rFonts w:ascii="Century Gothic" w:hAnsi="Century Gothic"/>
        </w:rPr>
      </w:pPr>
    </w:p>
    <w:p w14:paraId="17403ABE" w14:textId="3C8E658F" w:rsidR="0026320D" w:rsidRPr="0026320D" w:rsidRDefault="0026320D" w:rsidP="00B77B26">
      <w:pPr>
        <w:pStyle w:val="NoSpacing"/>
        <w:jc w:val="both"/>
        <w:rPr>
          <w:rFonts w:ascii="Century Gothic" w:hAnsi="Century Gothic"/>
        </w:rPr>
      </w:pPr>
      <w:r>
        <w:rPr>
          <w:rFonts w:ascii="Century Gothic" w:hAnsi="Century Gothic"/>
        </w:rPr>
        <w:t xml:space="preserve">In a nutshell, </w:t>
      </w:r>
      <w:r w:rsidR="005A6659">
        <w:rPr>
          <w:rFonts w:ascii="Century Gothic" w:hAnsi="Century Gothic"/>
        </w:rPr>
        <w:t xml:space="preserve">it is irrefutable, </w:t>
      </w:r>
      <w:r>
        <w:rPr>
          <w:rFonts w:ascii="Century Gothic" w:hAnsi="Century Gothic"/>
        </w:rPr>
        <w:t>there are such expenses</w:t>
      </w:r>
      <w:r w:rsidR="00A62083">
        <w:rPr>
          <w:rFonts w:ascii="Century Gothic" w:hAnsi="Century Gothic"/>
        </w:rPr>
        <w:t xml:space="preserve"> termed as </w:t>
      </w:r>
      <w:r w:rsidRPr="0026320D">
        <w:rPr>
          <w:rFonts w:ascii="Century Gothic" w:hAnsi="Century Gothic"/>
          <w:b/>
        </w:rPr>
        <w:t>optional charges</w:t>
      </w:r>
      <w:r w:rsidR="004E7228">
        <w:rPr>
          <w:rFonts w:ascii="Century Gothic" w:hAnsi="Century Gothic"/>
          <w:b/>
        </w:rPr>
        <w:t>,</w:t>
      </w:r>
      <w:r w:rsidRPr="0026320D">
        <w:rPr>
          <w:rFonts w:ascii="Century Gothic" w:hAnsi="Century Gothic"/>
        </w:rPr>
        <w:t xml:space="preserve"> (emphasis added)</w:t>
      </w:r>
      <w:r>
        <w:rPr>
          <w:rFonts w:ascii="Century Gothic" w:hAnsi="Century Gothic"/>
        </w:rPr>
        <w:t xml:space="preserve"> but </w:t>
      </w:r>
      <w:r w:rsidR="00FB5FD0">
        <w:rPr>
          <w:rFonts w:ascii="Century Gothic" w:hAnsi="Century Gothic"/>
        </w:rPr>
        <w:t xml:space="preserve">for reasons unknown, </w:t>
      </w:r>
      <w:r>
        <w:rPr>
          <w:rFonts w:ascii="Century Gothic" w:hAnsi="Century Gothic"/>
        </w:rPr>
        <w:t>these charges are</w:t>
      </w:r>
      <w:r w:rsidR="00FB5FD0">
        <w:rPr>
          <w:rFonts w:ascii="Century Gothic" w:hAnsi="Century Gothic"/>
        </w:rPr>
        <w:t xml:space="preserve"> not</w:t>
      </w:r>
      <w:r>
        <w:rPr>
          <w:rFonts w:ascii="Century Gothic" w:hAnsi="Century Gothic"/>
        </w:rPr>
        <w:t xml:space="preserve"> heard of in the Difference Basis of Gross Profit calculation</w:t>
      </w:r>
      <w:r w:rsidR="00E05602">
        <w:rPr>
          <w:rFonts w:ascii="Century Gothic" w:hAnsi="Century Gothic"/>
        </w:rPr>
        <w:t>.</w:t>
      </w:r>
      <w:r w:rsidR="003624A2">
        <w:rPr>
          <w:rFonts w:ascii="Century Gothic" w:hAnsi="Century Gothic"/>
        </w:rPr>
        <w:t xml:space="preserve"> Where did it go wrong?</w:t>
      </w:r>
    </w:p>
    <w:p w14:paraId="17B1EEBF" w14:textId="2020E27D" w:rsidR="00510385" w:rsidRDefault="00510385" w:rsidP="00B77B26">
      <w:pPr>
        <w:pStyle w:val="NoSpacing"/>
        <w:jc w:val="both"/>
        <w:rPr>
          <w:rFonts w:ascii="Century Gothic" w:hAnsi="Century Gothic"/>
        </w:rPr>
      </w:pPr>
    </w:p>
    <w:p w14:paraId="289DABBB" w14:textId="5D9DEABE" w:rsidR="00510385" w:rsidRDefault="00510385" w:rsidP="00B77B26">
      <w:pPr>
        <w:pStyle w:val="NoSpacing"/>
        <w:jc w:val="both"/>
        <w:rPr>
          <w:rFonts w:ascii="Century Gothic" w:hAnsi="Century Gothic"/>
        </w:rPr>
      </w:pPr>
      <w:r>
        <w:rPr>
          <w:rFonts w:ascii="Century Gothic" w:hAnsi="Century Gothic"/>
        </w:rPr>
        <w:lastRenderedPageBreak/>
        <w:t xml:space="preserve">The advent of the </w:t>
      </w:r>
      <w:r w:rsidR="00EB5309">
        <w:rPr>
          <w:rFonts w:ascii="Century Gothic" w:hAnsi="Century Gothic"/>
        </w:rPr>
        <w:t>I</w:t>
      </w:r>
      <w:r>
        <w:rPr>
          <w:rFonts w:ascii="Century Gothic" w:hAnsi="Century Gothic"/>
        </w:rPr>
        <w:t xml:space="preserve">nternational </w:t>
      </w:r>
      <w:r w:rsidR="00EB5309">
        <w:rPr>
          <w:rFonts w:ascii="Century Gothic" w:hAnsi="Century Gothic"/>
        </w:rPr>
        <w:t>Accounting Standards (IAS Standards)</w:t>
      </w:r>
      <w:r w:rsidR="00E05602">
        <w:rPr>
          <w:rFonts w:ascii="Century Gothic" w:hAnsi="Century Gothic"/>
        </w:rPr>
        <w:t xml:space="preserve"> worldwide</w:t>
      </w:r>
      <w:r w:rsidR="002C76C7">
        <w:rPr>
          <w:rStyle w:val="FootnoteReference"/>
          <w:rFonts w:ascii="Century Gothic" w:hAnsi="Century Gothic"/>
        </w:rPr>
        <w:footnoteReference w:id="20"/>
      </w:r>
      <w:r w:rsidR="00EB5309">
        <w:rPr>
          <w:rFonts w:ascii="Century Gothic" w:hAnsi="Century Gothic"/>
        </w:rPr>
        <w:t xml:space="preserve"> </w:t>
      </w:r>
      <w:r w:rsidR="00E05602">
        <w:rPr>
          <w:rFonts w:ascii="Century Gothic" w:hAnsi="Century Gothic"/>
        </w:rPr>
        <w:t>has thus demolished the proposition that the reason for insuring depreciation is that the accountancy practice varies or no uniformity of accountancy practice.</w:t>
      </w:r>
    </w:p>
    <w:p w14:paraId="1CC97D14" w14:textId="14028997" w:rsidR="00187FE8" w:rsidRDefault="00187FE8" w:rsidP="00B77B26">
      <w:pPr>
        <w:pStyle w:val="NoSpacing"/>
        <w:jc w:val="both"/>
        <w:rPr>
          <w:rFonts w:ascii="Century Gothic" w:hAnsi="Century Gothic"/>
        </w:rPr>
      </w:pPr>
    </w:p>
    <w:p w14:paraId="40651656" w14:textId="334B8D42" w:rsidR="00187FE8" w:rsidRDefault="00D52194" w:rsidP="00B77B26">
      <w:pPr>
        <w:pStyle w:val="NoSpacing"/>
        <w:jc w:val="both"/>
        <w:rPr>
          <w:rFonts w:ascii="Century Gothic" w:hAnsi="Century Gothic"/>
        </w:rPr>
      </w:pPr>
      <w:r>
        <w:rPr>
          <w:rFonts w:ascii="Century Gothic" w:hAnsi="Century Gothic"/>
        </w:rPr>
        <w:t xml:space="preserve">As mentioned above, </w:t>
      </w:r>
      <w:r w:rsidR="00187FE8">
        <w:rPr>
          <w:rFonts w:ascii="Century Gothic" w:hAnsi="Century Gothic"/>
        </w:rPr>
        <w:t xml:space="preserve">Riley recognized the existence of </w:t>
      </w:r>
      <w:r w:rsidR="0040670B">
        <w:rPr>
          <w:rFonts w:ascii="Century Gothic" w:hAnsi="Century Gothic"/>
        </w:rPr>
        <w:t>o</w:t>
      </w:r>
      <w:r w:rsidR="00187FE8">
        <w:rPr>
          <w:rFonts w:ascii="Century Gothic" w:hAnsi="Century Gothic"/>
        </w:rPr>
        <w:t xml:space="preserve">ptional </w:t>
      </w:r>
      <w:r w:rsidR="0040670B">
        <w:rPr>
          <w:rFonts w:ascii="Century Gothic" w:hAnsi="Century Gothic"/>
        </w:rPr>
        <w:t>charg</w:t>
      </w:r>
      <w:r w:rsidR="008072C2">
        <w:rPr>
          <w:rFonts w:ascii="Century Gothic" w:hAnsi="Century Gothic"/>
        </w:rPr>
        <w:t>e</w:t>
      </w:r>
      <w:r w:rsidR="008D5506">
        <w:rPr>
          <w:rFonts w:ascii="Century Gothic" w:hAnsi="Century Gothic"/>
        </w:rPr>
        <w:t>s.</w:t>
      </w:r>
    </w:p>
    <w:p w14:paraId="2010BC76" w14:textId="3D1AC93E" w:rsidR="00187FE8" w:rsidRDefault="00187FE8" w:rsidP="00B77B26">
      <w:pPr>
        <w:pStyle w:val="NoSpacing"/>
        <w:jc w:val="both"/>
        <w:rPr>
          <w:rFonts w:ascii="Century Gothic" w:hAnsi="Century Gothic"/>
        </w:rPr>
      </w:pPr>
    </w:p>
    <w:p w14:paraId="656B7855" w14:textId="5B0654F1" w:rsidR="00BC1DEB" w:rsidRPr="00AB23AB" w:rsidRDefault="00A11435" w:rsidP="00B77B26">
      <w:pPr>
        <w:pStyle w:val="NoSpacing"/>
        <w:jc w:val="both"/>
        <w:rPr>
          <w:rFonts w:ascii="Century Gothic" w:hAnsi="Century Gothic"/>
          <w:b/>
          <w:u w:val="single"/>
        </w:rPr>
      </w:pPr>
      <w:r>
        <w:rPr>
          <w:rFonts w:ascii="Century Gothic" w:hAnsi="Century Gothic"/>
          <w:b/>
        </w:rPr>
        <w:t>ii</w:t>
      </w:r>
      <w:r w:rsidR="00187FE8" w:rsidRPr="00AB23AB">
        <w:rPr>
          <w:rFonts w:ascii="Century Gothic" w:hAnsi="Century Gothic"/>
          <w:b/>
        </w:rPr>
        <w:t xml:space="preserve">)  </w:t>
      </w:r>
      <w:r w:rsidR="00187FE8" w:rsidRPr="00AB23AB">
        <w:rPr>
          <w:rFonts w:ascii="Century Gothic" w:hAnsi="Century Gothic"/>
          <w:b/>
          <w:u w:val="single"/>
        </w:rPr>
        <w:t>Principles and Practice of Interruption Insurance.</w:t>
      </w:r>
      <w:r w:rsidR="00BC1DEB" w:rsidRPr="00AB23AB">
        <w:rPr>
          <w:rFonts w:ascii="Century Gothic" w:hAnsi="Century Gothic"/>
          <w:b/>
          <w:u w:val="single"/>
        </w:rPr>
        <w:t xml:space="preserve"> </w:t>
      </w:r>
    </w:p>
    <w:p w14:paraId="520301C2" w14:textId="74B6F3BD" w:rsidR="00773D27" w:rsidRPr="00BC1DEB" w:rsidRDefault="00BC1DEB" w:rsidP="00B77B26">
      <w:pPr>
        <w:pStyle w:val="NoSpacing"/>
        <w:jc w:val="both"/>
        <w:rPr>
          <w:rFonts w:ascii="Century Gothic" w:hAnsi="Century Gothic"/>
          <w:u w:val="single"/>
        </w:rPr>
      </w:pPr>
      <w:r>
        <w:rPr>
          <w:rFonts w:ascii="Century Gothic" w:hAnsi="Century Gothic"/>
        </w:rPr>
        <w:t xml:space="preserve">      </w:t>
      </w:r>
      <w:r w:rsidR="00681859">
        <w:rPr>
          <w:rFonts w:ascii="Century Gothic" w:hAnsi="Century Gothic"/>
        </w:rPr>
        <w:t xml:space="preserve">First edition </w:t>
      </w:r>
      <w:r>
        <w:rPr>
          <w:rFonts w:ascii="Century Gothic" w:hAnsi="Century Gothic"/>
        </w:rPr>
        <w:t>(</w:t>
      </w:r>
      <w:r w:rsidR="00681859">
        <w:rPr>
          <w:rFonts w:ascii="Century Gothic" w:hAnsi="Century Gothic"/>
        </w:rPr>
        <w:t>1982</w:t>
      </w:r>
      <w:r>
        <w:rPr>
          <w:rFonts w:ascii="Century Gothic" w:hAnsi="Century Gothic"/>
        </w:rPr>
        <w:t>)</w:t>
      </w:r>
      <w:r w:rsidR="00681859">
        <w:rPr>
          <w:rFonts w:ascii="Century Gothic" w:hAnsi="Century Gothic"/>
        </w:rPr>
        <w:t xml:space="preserve"> by GJR Hickmott MBE, FCII, FCI Arb.</w:t>
      </w:r>
      <w:r w:rsidR="00187FE8">
        <w:rPr>
          <w:rFonts w:ascii="Century Gothic" w:hAnsi="Century Gothic"/>
        </w:rPr>
        <w:t xml:space="preserve"> (Hickmott)</w:t>
      </w:r>
    </w:p>
    <w:p w14:paraId="40CB1992" w14:textId="4AA0C071" w:rsidR="00187FE8" w:rsidRDefault="00187FE8" w:rsidP="00B77B26">
      <w:pPr>
        <w:pStyle w:val="NoSpacing"/>
        <w:jc w:val="both"/>
        <w:rPr>
          <w:rFonts w:ascii="Century Gothic" w:hAnsi="Century Gothic"/>
        </w:rPr>
      </w:pPr>
    </w:p>
    <w:p w14:paraId="6037DFB2" w14:textId="4D5F4959" w:rsidR="00AB661E" w:rsidRDefault="00681859" w:rsidP="00B77B26">
      <w:pPr>
        <w:pStyle w:val="NoSpacing"/>
        <w:jc w:val="both"/>
        <w:rPr>
          <w:rFonts w:ascii="Century Gothic" w:hAnsi="Century Gothic"/>
        </w:rPr>
      </w:pPr>
      <w:r>
        <w:rPr>
          <w:rFonts w:ascii="Century Gothic" w:hAnsi="Century Gothic"/>
        </w:rPr>
        <w:t>On Depreciation</w:t>
      </w:r>
      <w:r w:rsidR="00AE2560">
        <w:rPr>
          <w:rStyle w:val="FootnoteReference"/>
          <w:rFonts w:ascii="Century Gothic" w:hAnsi="Century Gothic"/>
        </w:rPr>
        <w:footnoteReference w:id="21"/>
      </w:r>
      <w:r>
        <w:rPr>
          <w:rFonts w:ascii="Century Gothic" w:hAnsi="Century Gothic"/>
        </w:rPr>
        <w:t xml:space="preserve">, Hickmott averred “what may be termed as </w:t>
      </w:r>
      <w:r w:rsidRPr="00681859">
        <w:rPr>
          <w:rFonts w:ascii="Century Gothic" w:hAnsi="Century Gothic"/>
          <w:b/>
          <w:i/>
        </w:rPr>
        <w:t>normal depreciation</w:t>
      </w:r>
      <w:r w:rsidR="00AE2560">
        <w:rPr>
          <w:rFonts w:ascii="Century Gothic" w:hAnsi="Century Gothic"/>
          <w:b/>
        </w:rPr>
        <w:t xml:space="preserve">, </w:t>
      </w:r>
      <w:r w:rsidR="00AE2560" w:rsidRPr="00AE2560">
        <w:rPr>
          <w:rFonts w:ascii="Century Gothic" w:hAnsi="Century Gothic"/>
        </w:rPr>
        <w:t>(emphasis in ita</w:t>
      </w:r>
      <w:r w:rsidR="00AE2560">
        <w:rPr>
          <w:rFonts w:ascii="Century Gothic" w:hAnsi="Century Gothic"/>
        </w:rPr>
        <w:t>lics</w:t>
      </w:r>
      <w:r w:rsidR="00AE2560" w:rsidRPr="00AE2560">
        <w:rPr>
          <w:rFonts w:ascii="Century Gothic" w:hAnsi="Century Gothic"/>
        </w:rPr>
        <w:t xml:space="preserve"> added)</w:t>
      </w:r>
      <w:r w:rsidRPr="00AE2560">
        <w:rPr>
          <w:rFonts w:ascii="Century Gothic" w:hAnsi="Century Gothic"/>
        </w:rPr>
        <w:t xml:space="preserve"> </w:t>
      </w:r>
      <w:r>
        <w:rPr>
          <w:rFonts w:ascii="Century Gothic" w:hAnsi="Century Gothic"/>
        </w:rPr>
        <w:t>which in other words may be defined as:</w:t>
      </w:r>
    </w:p>
    <w:p w14:paraId="74FF939A" w14:textId="0BCE7335" w:rsidR="00681859" w:rsidRDefault="00681859" w:rsidP="00B77B26">
      <w:pPr>
        <w:pStyle w:val="NoSpacing"/>
        <w:jc w:val="both"/>
        <w:rPr>
          <w:rFonts w:ascii="Century Gothic" w:hAnsi="Century Gothic"/>
        </w:rPr>
      </w:pPr>
    </w:p>
    <w:p w14:paraId="5B4FE00C" w14:textId="77777777" w:rsidR="00681859" w:rsidRDefault="00681859" w:rsidP="00B77B26">
      <w:pPr>
        <w:pStyle w:val="NoSpacing"/>
        <w:jc w:val="both"/>
        <w:rPr>
          <w:rFonts w:ascii="Century Gothic" w:hAnsi="Century Gothic"/>
        </w:rPr>
      </w:pPr>
      <w:r>
        <w:rPr>
          <w:rFonts w:ascii="Century Gothic" w:hAnsi="Century Gothic"/>
        </w:rPr>
        <w:t xml:space="preserve">       A </w:t>
      </w:r>
      <w:r w:rsidRPr="00B21A10">
        <w:rPr>
          <w:rFonts w:ascii="Century Gothic" w:hAnsi="Century Gothic"/>
          <w:b/>
        </w:rPr>
        <w:t>charge against income</w:t>
      </w:r>
      <w:r>
        <w:rPr>
          <w:rFonts w:ascii="Century Gothic" w:hAnsi="Century Gothic"/>
        </w:rPr>
        <w:t xml:space="preserve"> of that portion of the cost of fixed assets deemed to</w:t>
      </w:r>
    </w:p>
    <w:p w14:paraId="0A268043" w14:textId="3649CC71" w:rsidR="00681859" w:rsidRDefault="00681859" w:rsidP="00B77B26">
      <w:pPr>
        <w:pStyle w:val="NoSpacing"/>
        <w:jc w:val="both"/>
        <w:rPr>
          <w:rFonts w:ascii="Century Gothic" w:hAnsi="Century Gothic"/>
        </w:rPr>
      </w:pPr>
      <w:r>
        <w:rPr>
          <w:rFonts w:ascii="Century Gothic" w:hAnsi="Century Gothic"/>
        </w:rPr>
        <w:t xml:space="preserve">       have been consumed during the period under review”</w:t>
      </w:r>
      <w:r w:rsidR="00342FFA">
        <w:rPr>
          <w:rFonts w:ascii="Century Gothic" w:hAnsi="Century Gothic"/>
        </w:rPr>
        <w:t xml:space="preserve"> </w:t>
      </w:r>
      <w:r w:rsidR="00B21A10">
        <w:rPr>
          <w:rFonts w:ascii="Century Gothic" w:hAnsi="Century Gothic"/>
        </w:rPr>
        <w:t>(emphasis mine)</w:t>
      </w:r>
    </w:p>
    <w:p w14:paraId="4834DC46" w14:textId="77777777" w:rsidR="004C0321" w:rsidRDefault="004C0321" w:rsidP="00B77B26">
      <w:pPr>
        <w:pStyle w:val="NoSpacing"/>
        <w:jc w:val="both"/>
        <w:rPr>
          <w:rFonts w:ascii="Century Gothic" w:hAnsi="Century Gothic"/>
        </w:rPr>
      </w:pPr>
    </w:p>
    <w:p w14:paraId="098524AB" w14:textId="09C4C5BE" w:rsidR="00AE2560" w:rsidRDefault="00AE2560" w:rsidP="00B77B26">
      <w:pPr>
        <w:pStyle w:val="NoSpacing"/>
        <w:jc w:val="both"/>
        <w:rPr>
          <w:rFonts w:ascii="Century Gothic" w:hAnsi="Century Gothic"/>
        </w:rPr>
      </w:pPr>
      <w:r>
        <w:rPr>
          <w:rFonts w:ascii="Century Gothic" w:hAnsi="Century Gothic"/>
        </w:rPr>
        <w:t xml:space="preserve">Hickmott added “it is an accepted accounting standard that the appraised </w:t>
      </w:r>
      <w:r w:rsidR="00B21A10" w:rsidRPr="00B21A10">
        <w:rPr>
          <w:rFonts w:ascii="Century Gothic" w:hAnsi="Century Gothic"/>
          <w:b/>
        </w:rPr>
        <w:t>charge</w:t>
      </w:r>
      <w:r w:rsidR="00B21A10">
        <w:rPr>
          <w:rFonts w:ascii="Century Gothic" w:hAnsi="Century Gothic"/>
        </w:rPr>
        <w:t xml:space="preserve"> for depreciation must be made </w:t>
      </w:r>
      <w:r w:rsidR="00B21A10" w:rsidRPr="00B21A10">
        <w:rPr>
          <w:rFonts w:ascii="Century Gothic" w:hAnsi="Century Gothic"/>
          <w:b/>
        </w:rPr>
        <w:t>against revenue</w:t>
      </w:r>
      <w:r w:rsidR="00B21A10">
        <w:rPr>
          <w:rFonts w:ascii="Century Gothic" w:hAnsi="Century Gothic"/>
        </w:rPr>
        <w:t xml:space="preserve"> before the determination of net profit.”(emphasis mine).</w:t>
      </w:r>
    </w:p>
    <w:p w14:paraId="2D1CC92C" w14:textId="77777777" w:rsidR="004C0321" w:rsidRDefault="004C0321" w:rsidP="00B77B26">
      <w:pPr>
        <w:pStyle w:val="NoSpacing"/>
        <w:jc w:val="both"/>
        <w:rPr>
          <w:rFonts w:ascii="Century Gothic" w:hAnsi="Century Gothic"/>
        </w:rPr>
      </w:pPr>
      <w:r>
        <w:rPr>
          <w:rFonts w:ascii="Century Gothic" w:hAnsi="Century Gothic"/>
        </w:rPr>
        <w:t xml:space="preserve"> </w:t>
      </w:r>
    </w:p>
    <w:p w14:paraId="7486CB44" w14:textId="48457EC3" w:rsidR="00B21A10" w:rsidRDefault="00AC11D1" w:rsidP="00B77B26">
      <w:pPr>
        <w:pStyle w:val="NoSpacing"/>
        <w:jc w:val="both"/>
        <w:rPr>
          <w:rFonts w:ascii="Century Gothic" w:hAnsi="Century Gothic"/>
        </w:rPr>
      </w:pPr>
      <w:r>
        <w:rPr>
          <w:rFonts w:ascii="Century Gothic" w:hAnsi="Century Gothic"/>
        </w:rPr>
        <w:t>By way of an</w:t>
      </w:r>
      <w:r w:rsidR="00B21A10">
        <w:rPr>
          <w:rFonts w:ascii="Century Gothic" w:hAnsi="Century Gothic"/>
        </w:rPr>
        <w:t xml:space="preserve"> illustration, Hickmott referred to the Addition Basis policy on the subject-matter of depreciation, with </w:t>
      </w:r>
      <w:r w:rsidR="0040670B">
        <w:rPr>
          <w:rFonts w:ascii="Century Gothic" w:hAnsi="Century Gothic"/>
        </w:rPr>
        <w:t xml:space="preserve">a particular </w:t>
      </w:r>
      <w:r w:rsidR="00B21A10">
        <w:rPr>
          <w:rFonts w:ascii="Century Gothic" w:hAnsi="Century Gothic"/>
        </w:rPr>
        <w:t xml:space="preserve">reference to the definition of </w:t>
      </w:r>
      <w:r w:rsidR="00695F2A">
        <w:rPr>
          <w:rFonts w:ascii="Century Gothic" w:hAnsi="Century Gothic"/>
        </w:rPr>
        <w:t>N</w:t>
      </w:r>
      <w:r w:rsidR="00B21A10">
        <w:rPr>
          <w:rFonts w:ascii="Century Gothic" w:hAnsi="Century Gothic"/>
        </w:rPr>
        <w:t xml:space="preserve">et </w:t>
      </w:r>
      <w:r w:rsidR="00695F2A">
        <w:rPr>
          <w:rFonts w:ascii="Century Gothic" w:hAnsi="Century Gothic"/>
        </w:rPr>
        <w:t>P</w:t>
      </w:r>
      <w:r w:rsidR="00B21A10">
        <w:rPr>
          <w:rFonts w:ascii="Century Gothic" w:hAnsi="Century Gothic"/>
        </w:rPr>
        <w:t>rofit:</w:t>
      </w:r>
    </w:p>
    <w:p w14:paraId="68D4838E" w14:textId="3BC7C6E3" w:rsidR="00AC11D1" w:rsidRDefault="00AC11D1" w:rsidP="00862947">
      <w:pPr>
        <w:pStyle w:val="NoSpacing"/>
        <w:rPr>
          <w:rFonts w:ascii="Century Gothic" w:hAnsi="Century Gothic"/>
        </w:rPr>
      </w:pPr>
    </w:p>
    <w:p w14:paraId="695724C9" w14:textId="4F2B3000" w:rsidR="00B21A10" w:rsidRDefault="00B21A10" w:rsidP="00862947">
      <w:pPr>
        <w:pStyle w:val="NoSpacing"/>
        <w:rPr>
          <w:rFonts w:ascii="Century Gothic" w:hAnsi="Century Gothic"/>
        </w:rPr>
      </w:pPr>
    </w:p>
    <w:p w14:paraId="29CD26A6" w14:textId="77777777" w:rsidR="003817A5" w:rsidRDefault="00B21A10" w:rsidP="00B77B26">
      <w:pPr>
        <w:pStyle w:val="NoSpacing"/>
        <w:jc w:val="both"/>
        <w:rPr>
          <w:rFonts w:ascii="Century Gothic" w:hAnsi="Century Gothic"/>
        </w:rPr>
      </w:pPr>
      <w:r>
        <w:rPr>
          <w:rFonts w:ascii="Century Gothic" w:hAnsi="Century Gothic"/>
        </w:rPr>
        <w:t xml:space="preserve">        “Net Profit. – The net trading profit (exclusive of all capital receipts and</w:t>
      </w:r>
    </w:p>
    <w:p w14:paraId="77628709" w14:textId="4A100AEC" w:rsidR="003817A5" w:rsidRDefault="003817A5" w:rsidP="00B77B26">
      <w:pPr>
        <w:pStyle w:val="NoSpacing"/>
        <w:jc w:val="both"/>
        <w:rPr>
          <w:rFonts w:ascii="Century Gothic" w:hAnsi="Century Gothic"/>
        </w:rPr>
      </w:pPr>
      <w:r>
        <w:rPr>
          <w:rFonts w:ascii="Century Gothic" w:hAnsi="Century Gothic"/>
        </w:rPr>
        <w:t xml:space="preserve">          </w:t>
      </w:r>
      <w:r w:rsidR="00B21A10">
        <w:rPr>
          <w:rFonts w:ascii="Century Gothic" w:hAnsi="Century Gothic"/>
        </w:rPr>
        <w:t>accretions, and all outlay properly chargeable to capital) resulting from the</w:t>
      </w:r>
    </w:p>
    <w:p w14:paraId="5C2EA3DD" w14:textId="77777777" w:rsidR="003817A5" w:rsidRDefault="003817A5" w:rsidP="00B77B26">
      <w:pPr>
        <w:pStyle w:val="NoSpacing"/>
        <w:jc w:val="both"/>
        <w:rPr>
          <w:rFonts w:ascii="Century Gothic" w:hAnsi="Century Gothic"/>
        </w:rPr>
      </w:pPr>
      <w:r>
        <w:rPr>
          <w:rFonts w:ascii="Century Gothic" w:hAnsi="Century Gothic"/>
        </w:rPr>
        <w:t xml:space="preserve">         </w:t>
      </w:r>
      <w:r w:rsidR="00B21A10">
        <w:rPr>
          <w:rFonts w:ascii="Century Gothic" w:hAnsi="Century Gothic"/>
        </w:rPr>
        <w:t xml:space="preserve"> business of the insured at the premises after </w:t>
      </w:r>
      <w:r w:rsidR="00B21A10" w:rsidRPr="00AC11D1">
        <w:rPr>
          <w:rFonts w:ascii="Century Gothic" w:hAnsi="Century Gothic"/>
          <w:b/>
          <w:i/>
        </w:rPr>
        <w:t>due provisions have been made</w:t>
      </w:r>
    </w:p>
    <w:p w14:paraId="46DD48F1" w14:textId="0D887E2B" w:rsidR="00B21A10" w:rsidRDefault="003817A5" w:rsidP="00B77B26">
      <w:pPr>
        <w:pStyle w:val="NoSpacing"/>
        <w:jc w:val="both"/>
        <w:rPr>
          <w:rFonts w:ascii="Century Gothic" w:hAnsi="Century Gothic"/>
        </w:rPr>
      </w:pPr>
      <w:r>
        <w:rPr>
          <w:rFonts w:ascii="Century Gothic" w:hAnsi="Century Gothic"/>
        </w:rPr>
        <w:t xml:space="preserve">         </w:t>
      </w:r>
      <w:r w:rsidR="00B21A10" w:rsidRPr="00AC11D1">
        <w:rPr>
          <w:rFonts w:ascii="Century Gothic" w:hAnsi="Century Gothic"/>
          <w:b/>
        </w:rPr>
        <w:t xml:space="preserve"> </w:t>
      </w:r>
      <w:r w:rsidR="00B21A10" w:rsidRPr="00AC11D1">
        <w:rPr>
          <w:rFonts w:ascii="Century Gothic" w:hAnsi="Century Gothic"/>
          <w:b/>
          <w:i/>
        </w:rPr>
        <w:t>for all standing and other charges including depreciation</w:t>
      </w:r>
      <w:r w:rsidR="001E7E5D">
        <w:rPr>
          <w:rFonts w:ascii="Century Gothic" w:hAnsi="Century Gothic"/>
        </w:rPr>
        <w:t xml:space="preserve">” </w:t>
      </w:r>
      <w:r w:rsidR="00AC11D1">
        <w:rPr>
          <w:rFonts w:ascii="Century Gothic" w:hAnsi="Century Gothic"/>
        </w:rPr>
        <w:t>(emphasis in italic</w:t>
      </w:r>
      <w:r w:rsidR="003A0322">
        <w:rPr>
          <w:rFonts w:ascii="Century Gothic" w:hAnsi="Century Gothic"/>
        </w:rPr>
        <w:t>s</w:t>
      </w:r>
      <w:r w:rsidR="00AC11D1">
        <w:rPr>
          <w:rFonts w:ascii="Century Gothic" w:hAnsi="Century Gothic"/>
        </w:rPr>
        <w:t>).</w:t>
      </w:r>
    </w:p>
    <w:p w14:paraId="718BF3CE" w14:textId="290C504C" w:rsidR="00537610" w:rsidRDefault="00537610" w:rsidP="00B77B26">
      <w:pPr>
        <w:pStyle w:val="NoSpacing"/>
        <w:jc w:val="both"/>
        <w:rPr>
          <w:rFonts w:ascii="Century Gothic" w:hAnsi="Century Gothic"/>
        </w:rPr>
      </w:pPr>
    </w:p>
    <w:p w14:paraId="58714A9A" w14:textId="42B0E604" w:rsidR="00342FFA" w:rsidRDefault="00342FFA" w:rsidP="00B77B26">
      <w:pPr>
        <w:pStyle w:val="NoSpacing"/>
        <w:jc w:val="both"/>
        <w:rPr>
          <w:rFonts w:ascii="Century Gothic" w:hAnsi="Century Gothic"/>
        </w:rPr>
      </w:pPr>
      <w:r>
        <w:rPr>
          <w:rFonts w:ascii="Century Gothic" w:hAnsi="Century Gothic"/>
        </w:rPr>
        <w:t xml:space="preserve">It can be seen that, firstly, the word “Depreciation” is purposely set apart from </w:t>
      </w:r>
      <w:r w:rsidRPr="00342FFA">
        <w:rPr>
          <w:rFonts w:ascii="Century Gothic" w:hAnsi="Century Gothic"/>
          <w:b/>
        </w:rPr>
        <w:t>standing and other charges</w:t>
      </w:r>
      <w:r>
        <w:rPr>
          <w:rFonts w:ascii="Century Gothic" w:hAnsi="Century Gothic"/>
          <w:b/>
        </w:rPr>
        <w:t xml:space="preserve"> </w:t>
      </w:r>
      <w:r w:rsidRPr="00342FFA">
        <w:rPr>
          <w:rFonts w:ascii="Century Gothic" w:hAnsi="Century Gothic"/>
        </w:rPr>
        <w:t>(emphasis mine)</w:t>
      </w:r>
      <w:r w:rsidR="004749C5">
        <w:rPr>
          <w:rFonts w:ascii="Century Gothic" w:hAnsi="Century Gothic"/>
        </w:rPr>
        <w:t>.</w:t>
      </w:r>
      <w:r>
        <w:rPr>
          <w:rFonts w:ascii="Century Gothic" w:hAnsi="Century Gothic"/>
        </w:rPr>
        <w:t xml:space="preserve"> </w:t>
      </w:r>
      <w:r w:rsidR="004749C5">
        <w:rPr>
          <w:rFonts w:ascii="Century Gothic" w:hAnsi="Century Gothic"/>
        </w:rPr>
        <w:t>A</w:t>
      </w:r>
      <w:r>
        <w:rPr>
          <w:rFonts w:ascii="Century Gothic" w:hAnsi="Century Gothic"/>
        </w:rPr>
        <w:t xml:space="preserve">nd secondly, Hickmott’s assertion that “… the charge for depreciation must be made against revenue” </w:t>
      </w:r>
      <w:r w:rsidR="004749C5">
        <w:rPr>
          <w:rFonts w:ascii="Century Gothic" w:hAnsi="Century Gothic"/>
        </w:rPr>
        <w:t xml:space="preserve">corresponded </w:t>
      </w:r>
      <w:r>
        <w:rPr>
          <w:rFonts w:ascii="Century Gothic" w:hAnsi="Century Gothic"/>
        </w:rPr>
        <w:t xml:space="preserve">with the provisions of the </w:t>
      </w:r>
      <w:r w:rsidR="004749C5">
        <w:rPr>
          <w:rFonts w:ascii="Century Gothic" w:hAnsi="Century Gothic"/>
        </w:rPr>
        <w:t>ITA 1967 (see Illustrations 1, 2 &amp; 3).</w:t>
      </w:r>
    </w:p>
    <w:p w14:paraId="00F6257B" w14:textId="77777777" w:rsidR="00342FFA" w:rsidRDefault="00342FFA" w:rsidP="00B77B26">
      <w:pPr>
        <w:pStyle w:val="NoSpacing"/>
        <w:jc w:val="both"/>
        <w:rPr>
          <w:rFonts w:ascii="Century Gothic" w:hAnsi="Century Gothic"/>
        </w:rPr>
      </w:pPr>
    </w:p>
    <w:p w14:paraId="4125190A" w14:textId="54EB16E7" w:rsidR="00537610" w:rsidRDefault="00537610" w:rsidP="00B77B26">
      <w:pPr>
        <w:pStyle w:val="NoSpacing"/>
        <w:jc w:val="both"/>
        <w:rPr>
          <w:rFonts w:ascii="Century Gothic" w:hAnsi="Century Gothic"/>
        </w:rPr>
      </w:pPr>
      <w:r>
        <w:rPr>
          <w:rFonts w:ascii="Century Gothic" w:hAnsi="Century Gothic"/>
        </w:rPr>
        <w:t>The learned au</w:t>
      </w:r>
      <w:r w:rsidR="003A0322">
        <w:rPr>
          <w:rFonts w:ascii="Century Gothic" w:hAnsi="Century Gothic"/>
        </w:rPr>
        <w:t>thor</w:t>
      </w:r>
      <w:r>
        <w:rPr>
          <w:rFonts w:ascii="Century Gothic" w:hAnsi="Century Gothic"/>
        </w:rPr>
        <w:t xml:space="preserve"> went on to add</w:t>
      </w:r>
      <w:r w:rsidR="00BC1DEB">
        <w:rPr>
          <w:rStyle w:val="FootnoteReference"/>
          <w:rFonts w:ascii="Century Gothic" w:hAnsi="Century Gothic"/>
        </w:rPr>
        <w:footnoteReference w:id="22"/>
      </w:r>
      <w:r>
        <w:rPr>
          <w:rFonts w:ascii="Century Gothic" w:hAnsi="Century Gothic"/>
        </w:rPr>
        <w:t>:</w:t>
      </w:r>
    </w:p>
    <w:p w14:paraId="4EFB2500" w14:textId="77777777" w:rsidR="00537610" w:rsidRDefault="00537610" w:rsidP="00B77B26">
      <w:pPr>
        <w:pStyle w:val="NoSpacing"/>
        <w:jc w:val="both"/>
        <w:rPr>
          <w:rFonts w:ascii="Century Gothic" w:hAnsi="Century Gothic"/>
        </w:rPr>
      </w:pPr>
    </w:p>
    <w:p w14:paraId="2640EF7C" w14:textId="3DAB0AE0" w:rsidR="00537610" w:rsidRDefault="00537610" w:rsidP="00B77B26">
      <w:pPr>
        <w:pStyle w:val="NoSpacing"/>
        <w:jc w:val="both"/>
        <w:rPr>
          <w:rFonts w:ascii="Century Gothic" w:hAnsi="Century Gothic"/>
        </w:rPr>
      </w:pPr>
      <w:r>
        <w:rPr>
          <w:rFonts w:ascii="Century Gothic" w:hAnsi="Century Gothic"/>
        </w:rPr>
        <w:t xml:space="preserve">“ </w:t>
      </w:r>
      <w:r w:rsidRPr="00BF66FC">
        <w:rPr>
          <w:rFonts w:ascii="Century Gothic" w:hAnsi="Century Gothic"/>
          <w:b/>
        </w:rPr>
        <w:t>The definition does not say that depreciation is a standing charge,</w:t>
      </w:r>
      <w:r>
        <w:rPr>
          <w:rFonts w:ascii="Century Gothic" w:hAnsi="Century Gothic"/>
        </w:rPr>
        <w:t xml:space="preserve"> but it observes the accounting standard that there must be charged against gross income “due provision ….for….depreciation” before the net profits </w:t>
      </w:r>
      <w:r w:rsidR="0040670B">
        <w:rPr>
          <w:rFonts w:ascii="Century Gothic" w:hAnsi="Century Gothic"/>
        </w:rPr>
        <w:t xml:space="preserve">is </w:t>
      </w:r>
      <w:r>
        <w:rPr>
          <w:rFonts w:ascii="Century Gothic" w:hAnsi="Century Gothic"/>
        </w:rPr>
        <w:t>determined”</w:t>
      </w:r>
      <w:r w:rsidR="00BF66FC">
        <w:rPr>
          <w:rFonts w:ascii="Century Gothic" w:hAnsi="Century Gothic"/>
        </w:rPr>
        <w:t>(emphasis mine)</w:t>
      </w:r>
      <w:r w:rsidR="00BC1DEB">
        <w:rPr>
          <w:rFonts w:ascii="Century Gothic" w:hAnsi="Century Gothic"/>
        </w:rPr>
        <w:t>.</w:t>
      </w:r>
    </w:p>
    <w:p w14:paraId="434763B1" w14:textId="24C85040" w:rsidR="00BC1DEB" w:rsidRDefault="00BC1DEB" w:rsidP="00B77B26">
      <w:pPr>
        <w:pStyle w:val="NoSpacing"/>
        <w:jc w:val="both"/>
        <w:rPr>
          <w:rFonts w:ascii="Century Gothic" w:hAnsi="Century Gothic"/>
        </w:rPr>
      </w:pPr>
    </w:p>
    <w:p w14:paraId="476EF4E8" w14:textId="4364AC14" w:rsidR="003A7091" w:rsidRDefault="00BC1DEB" w:rsidP="00B77B26">
      <w:pPr>
        <w:pStyle w:val="NoSpacing"/>
        <w:jc w:val="both"/>
        <w:rPr>
          <w:rFonts w:ascii="Century Gothic" w:hAnsi="Century Gothic"/>
        </w:rPr>
      </w:pPr>
      <w:r>
        <w:rPr>
          <w:rFonts w:ascii="Century Gothic" w:hAnsi="Century Gothic"/>
        </w:rPr>
        <w:t>However, subsequently</w:t>
      </w:r>
      <w:r>
        <w:rPr>
          <w:rStyle w:val="FootnoteReference"/>
          <w:rFonts w:ascii="Century Gothic" w:hAnsi="Century Gothic"/>
        </w:rPr>
        <w:footnoteReference w:id="23"/>
      </w:r>
      <w:r>
        <w:rPr>
          <w:rFonts w:ascii="Century Gothic" w:hAnsi="Century Gothic"/>
        </w:rPr>
        <w:t xml:space="preserve">, </w:t>
      </w:r>
      <w:r w:rsidR="003A0322">
        <w:rPr>
          <w:rFonts w:ascii="Century Gothic" w:hAnsi="Century Gothic"/>
        </w:rPr>
        <w:t xml:space="preserve">there is a </w:t>
      </w:r>
      <w:r>
        <w:rPr>
          <w:rFonts w:ascii="Century Gothic" w:hAnsi="Century Gothic"/>
        </w:rPr>
        <w:t>contradict</w:t>
      </w:r>
      <w:r w:rsidR="003A0322">
        <w:rPr>
          <w:rFonts w:ascii="Century Gothic" w:hAnsi="Century Gothic"/>
        </w:rPr>
        <w:t xml:space="preserve">ion </w:t>
      </w:r>
      <w:r w:rsidR="003A7091">
        <w:rPr>
          <w:rFonts w:ascii="Century Gothic" w:hAnsi="Century Gothic"/>
        </w:rPr>
        <w:t xml:space="preserve">by Hickmott </w:t>
      </w:r>
      <w:r w:rsidR="003A0322">
        <w:rPr>
          <w:rFonts w:ascii="Century Gothic" w:hAnsi="Century Gothic"/>
        </w:rPr>
        <w:t xml:space="preserve">that </w:t>
      </w:r>
      <w:r>
        <w:rPr>
          <w:rFonts w:ascii="Century Gothic" w:hAnsi="Century Gothic"/>
        </w:rPr>
        <w:t>“</w:t>
      </w:r>
      <w:r w:rsidRPr="00BC1DEB">
        <w:rPr>
          <w:rFonts w:ascii="Century Gothic" w:hAnsi="Century Gothic"/>
          <w:b/>
        </w:rPr>
        <w:t>Depreciation of</w:t>
      </w:r>
      <w:r>
        <w:rPr>
          <w:rFonts w:ascii="Century Gothic" w:hAnsi="Century Gothic"/>
        </w:rPr>
        <w:t xml:space="preserve"> </w:t>
      </w:r>
      <w:r w:rsidRPr="00BC1DEB">
        <w:rPr>
          <w:rFonts w:ascii="Century Gothic" w:hAnsi="Century Gothic"/>
          <w:b/>
        </w:rPr>
        <w:t>fixed assets is a standing charge”</w:t>
      </w:r>
      <w:r>
        <w:rPr>
          <w:rFonts w:ascii="Century Gothic" w:hAnsi="Century Gothic"/>
          <w:b/>
        </w:rPr>
        <w:t>.</w:t>
      </w:r>
      <w:r w:rsidR="00342FFA">
        <w:rPr>
          <w:rFonts w:ascii="Century Gothic" w:hAnsi="Century Gothic"/>
          <w:b/>
        </w:rPr>
        <w:t xml:space="preserve"> </w:t>
      </w:r>
      <w:r w:rsidR="004749C5">
        <w:rPr>
          <w:rFonts w:ascii="Century Gothic" w:hAnsi="Century Gothic"/>
          <w:b/>
        </w:rPr>
        <w:t xml:space="preserve"> </w:t>
      </w:r>
      <w:r w:rsidR="004749C5" w:rsidRPr="004749C5">
        <w:rPr>
          <w:rFonts w:ascii="Century Gothic" w:hAnsi="Century Gothic"/>
        </w:rPr>
        <w:t xml:space="preserve">If Depreciation </w:t>
      </w:r>
      <w:r w:rsidR="004749C5">
        <w:rPr>
          <w:rFonts w:ascii="Century Gothic" w:hAnsi="Century Gothic"/>
        </w:rPr>
        <w:t xml:space="preserve">were a standing charge, </w:t>
      </w:r>
      <w:r w:rsidR="003A0322">
        <w:rPr>
          <w:rFonts w:ascii="Century Gothic" w:hAnsi="Century Gothic"/>
        </w:rPr>
        <w:t>the definition of Net Profit ought not to extend the wording “</w:t>
      </w:r>
      <w:r w:rsidR="008072C2">
        <w:rPr>
          <w:rFonts w:ascii="Century Gothic" w:hAnsi="Century Gothic"/>
        </w:rPr>
        <w:t xml:space="preserve"> </w:t>
      </w:r>
      <w:r w:rsidR="003A0322">
        <w:rPr>
          <w:rFonts w:ascii="Century Gothic" w:hAnsi="Century Gothic"/>
        </w:rPr>
        <w:t>.</w:t>
      </w:r>
      <w:r w:rsidR="003A0322" w:rsidRPr="003A0322">
        <w:rPr>
          <w:rFonts w:ascii="Century Gothic" w:hAnsi="Century Gothic"/>
          <w:b/>
        </w:rPr>
        <w:t>including depreciation</w:t>
      </w:r>
      <w:r w:rsidR="003A0322" w:rsidRPr="003A0322">
        <w:rPr>
          <w:rFonts w:ascii="Century Gothic" w:hAnsi="Century Gothic"/>
        </w:rPr>
        <w:t>,”(emphasis mine)</w:t>
      </w:r>
      <w:r w:rsidR="003A0322">
        <w:rPr>
          <w:rFonts w:ascii="Century Gothic" w:hAnsi="Century Gothic"/>
        </w:rPr>
        <w:t xml:space="preserve"> as depreciation per se </w:t>
      </w:r>
      <w:r w:rsidR="0040670B">
        <w:rPr>
          <w:rFonts w:ascii="Century Gothic" w:hAnsi="Century Gothic"/>
        </w:rPr>
        <w:t>would be</w:t>
      </w:r>
      <w:r w:rsidR="003A0322">
        <w:rPr>
          <w:rFonts w:ascii="Century Gothic" w:hAnsi="Century Gothic"/>
        </w:rPr>
        <w:t xml:space="preserve"> already all inclusive in the standing charges.</w:t>
      </w:r>
      <w:r w:rsidR="003A7091">
        <w:rPr>
          <w:rFonts w:ascii="Century Gothic" w:hAnsi="Century Gothic"/>
        </w:rPr>
        <w:t xml:space="preserve"> </w:t>
      </w:r>
    </w:p>
    <w:p w14:paraId="189AB65E" w14:textId="77777777" w:rsidR="003A7091" w:rsidRDefault="003A7091" w:rsidP="00B77B26">
      <w:pPr>
        <w:pStyle w:val="NoSpacing"/>
        <w:jc w:val="both"/>
        <w:rPr>
          <w:rFonts w:ascii="Century Gothic" w:hAnsi="Century Gothic"/>
        </w:rPr>
      </w:pPr>
    </w:p>
    <w:p w14:paraId="33BB5DA6" w14:textId="06B63EFA" w:rsidR="00BC1DEB" w:rsidRDefault="003A7091" w:rsidP="00B77B26">
      <w:pPr>
        <w:pStyle w:val="NoSpacing"/>
        <w:jc w:val="both"/>
        <w:rPr>
          <w:rFonts w:ascii="Century Gothic" w:hAnsi="Century Gothic"/>
        </w:rPr>
      </w:pPr>
      <w:r>
        <w:rPr>
          <w:rFonts w:ascii="Century Gothic" w:hAnsi="Century Gothic"/>
        </w:rPr>
        <w:t>It is trite law that where a definition did not expressly define depreciation is a standing charge, it would be presumptuous to say so.</w:t>
      </w:r>
    </w:p>
    <w:p w14:paraId="446C95B1" w14:textId="560D4740" w:rsidR="003A7091" w:rsidRDefault="00C7731B" w:rsidP="00B77B26">
      <w:pPr>
        <w:pStyle w:val="NoSpacing"/>
        <w:jc w:val="both"/>
        <w:rPr>
          <w:rFonts w:ascii="Century Gothic" w:hAnsi="Century Gothic"/>
        </w:rPr>
      </w:pPr>
      <w:r>
        <w:rPr>
          <w:rFonts w:ascii="Century Gothic" w:hAnsi="Century Gothic"/>
        </w:rPr>
        <w:lastRenderedPageBreak/>
        <w:t xml:space="preserve">Additionally, there would be confusion that on one hand, </w:t>
      </w:r>
      <w:r w:rsidR="0040670B">
        <w:rPr>
          <w:rFonts w:ascii="Century Gothic" w:hAnsi="Century Gothic"/>
        </w:rPr>
        <w:t>to say,</w:t>
      </w:r>
      <w:r>
        <w:rPr>
          <w:rFonts w:ascii="Century Gothic" w:hAnsi="Century Gothic"/>
        </w:rPr>
        <w:t>“the definition does not say that depreciation is a standing charge” and on the other hand, adding “depreciation of fixed assets is a standing charge”.</w:t>
      </w:r>
    </w:p>
    <w:p w14:paraId="567333D9" w14:textId="1C98DE41" w:rsidR="0040670B" w:rsidRDefault="0040670B" w:rsidP="00B77B26">
      <w:pPr>
        <w:pStyle w:val="NoSpacing"/>
        <w:jc w:val="both"/>
        <w:rPr>
          <w:rFonts w:ascii="Century Gothic" w:hAnsi="Century Gothic"/>
        </w:rPr>
      </w:pPr>
    </w:p>
    <w:p w14:paraId="505E752A" w14:textId="6091577B" w:rsidR="00C7731B" w:rsidRDefault="009D2A3B" w:rsidP="00B77B26">
      <w:pPr>
        <w:pStyle w:val="NoSpacing"/>
        <w:jc w:val="both"/>
        <w:rPr>
          <w:rFonts w:ascii="Century Gothic" w:hAnsi="Century Gothic"/>
        </w:rPr>
      </w:pPr>
      <w:r>
        <w:rPr>
          <w:rFonts w:ascii="Century Gothic" w:hAnsi="Century Gothic"/>
        </w:rPr>
        <w:t xml:space="preserve">In </w:t>
      </w:r>
      <w:r w:rsidR="00FF734F">
        <w:rPr>
          <w:rFonts w:ascii="Century Gothic" w:hAnsi="Century Gothic"/>
        </w:rPr>
        <w:t xml:space="preserve">fairness, First edition of </w:t>
      </w:r>
      <w:r>
        <w:rPr>
          <w:rFonts w:ascii="Century Gothic" w:hAnsi="Century Gothic"/>
        </w:rPr>
        <w:t>Hickmott</w:t>
      </w:r>
      <w:r w:rsidR="00FF734F">
        <w:rPr>
          <w:rFonts w:ascii="Century Gothic" w:hAnsi="Century Gothic"/>
        </w:rPr>
        <w:t xml:space="preserve"> </w:t>
      </w:r>
      <w:r>
        <w:rPr>
          <w:rFonts w:ascii="Century Gothic" w:hAnsi="Century Gothic"/>
        </w:rPr>
        <w:t>pre-dated the IFRS Accounting Standards (IAS).</w:t>
      </w:r>
    </w:p>
    <w:p w14:paraId="36CC7467" w14:textId="5C9A5B1F" w:rsidR="009D2A3B" w:rsidRDefault="009D2A3B" w:rsidP="00B77B26">
      <w:pPr>
        <w:pStyle w:val="NoSpacing"/>
        <w:jc w:val="both"/>
        <w:rPr>
          <w:rFonts w:ascii="Century Gothic" w:hAnsi="Century Gothic"/>
        </w:rPr>
      </w:pPr>
    </w:p>
    <w:p w14:paraId="28A6ADF2" w14:textId="2EC1C8D2" w:rsidR="009D2A3B" w:rsidRDefault="009D2A3B" w:rsidP="00B77B26">
      <w:pPr>
        <w:pStyle w:val="NoSpacing"/>
        <w:jc w:val="both"/>
        <w:rPr>
          <w:rFonts w:ascii="Century Gothic" w:hAnsi="Century Gothic"/>
        </w:rPr>
      </w:pPr>
      <w:r>
        <w:rPr>
          <w:rFonts w:ascii="Century Gothic" w:hAnsi="Century Gothic"/>
        </w:rPr>
        <w:t>Summarily, it has to be mentioned that it is most disconcerting to observe, notwithstanding the advancement of IFRS Accounting Standards, there are schools of thought still subscribing to</w:t>
      </w:r>
      <w:r w:rsidR="00F71FC9">
        <w:rPr>
          <w:rFonts w:ascii="Century Gothic" w:hAnsi="Century Gothic"/>
        </w:rPr>
        <w:t xml:space="preserve"> the notion “Depreciation is a Standing charge’.</w:t>
      </w:r>
    </w:p>
    <w:p w14:paraId="17E8E5DF" w14:textId="77777777" w:rsidR="00230731" w:rsidRDefault="00230731" w:rsidP="007F2823">
      <w:pPr>
        <w:pStyle w:val="NoSpacing"/>
        <w:jc w:val="both"/>
        <w:rPr>
          <w:rFonts w:ascii="Century Gothic" w:hAnsi="Century Gothic"/>
        </w:rPr>
      </w:pPr>
    </w:p>
    <w:p w14:paraId="6F98E723" w14:textId="405F0252" w:rsidR="00C7731B" w:rsidRDefault="00FF734F" w:rsidP="007F2823">
      <w:pPr>
        <w:pStyle w:val="NoSpacing"/>
        <w:jc w:val="both"/>
        <w:rPr>
          <w:rFonts w:ascii="Century Gothic" w:hAnsi="Century Gothic"/>
        </w:rPr>
      </w:pPr>
      <w:r>
        <w:rPr>
          <w:rFonts w:ascii="Century Gothic" w:hAnsi="Century Gothic"/>
        </w:rPr>
        <w:t xml:space="preserve">On </w:t>
      </w:r>
      <w:r w:rsidRPr="002A1336">
        <w:rPr>
          <w:rFonts w:ascii="Century Gothic" w:hAnsi="Century Gothic"/>
          <w:b/>
          <w:u w:val="single"/>
        </w:rPr>
        <w:t>optional charges</w:t>
      </w:r>
      <w:r>
        <w:rPr>
          <w:rFonts w:ascii="Century Gothic" w:hAnsi="Century Gothic"/>
        </w:rPr>
        <w:t>, Hickmott dedicated a paragraph</w:t>
      </w:r>
      <w:r>
        <w:rPr>
          <w:rStyle w:val="FootnoteReference"/>
          <w:rFonts w:ascii="Century Gothic" w:hAnsi="Century Gothic"/>
        </w:rPr>
        <w:footnoteReference w:id="24"/>
      </w:r>
      <w:r>
        <w:rPr>
          <w:rFonts w:ascii="Century Gothic" w:hAnsi="Century Gothic"/>
        </w:rPr>
        <w:t xml:space="preserve"> to mention “it is customary, however, to permit the insurance of </w:t>
      </w:r>
      <w:r w:rsidRPr="002A1336">
        <w:rPr>
          <w:rFonts w:ascii="Century Gothic" w:hAnsi="Century Gothic"/>
          <w:u w:val="single"/>
        </w:rPr>
        <w:t>certain other charges</w:t>
      </w:r>
      <w:r>
        <w:rPr>
          <w:rFonts w:ascii="Century Gothic" w:hAnsi="Century Gothic"/>
        </w:rPr>
        <w:t xml:space="preserve"> which </w:t>
      </w:r>
      <w:r w:rsidRPr="002A1336">
        <w:rPr>
          <w:rFonts w:ascii="Century Gothic" w:hAnsi="Century Gothic"/>
          <w:u w:val="single"/>
        </w:rPr>
        <w:t>may be</w:t>
      </w:r>
      <w:r>
        <w:rPr>
          <w:rFonts w:ascii="Century Gothic" w:hAnsi="Century Gothic"/>
        </w:rPr>
        <w:t xml:space="preserve"> </w:t>
      </w:r>
      <w:r w:rsidRPr="002A1336">
        <w:rPr>
          <w:rFonts w:ascii="Century Gothic" w:hAnsi="Century Gothic"/>
          <w:u w:val="single"/>
        </w:rPr>
        <w:t>classed as optional……. charges</w:t>
      </w:r>
      <w:r>
        <w:rPr>
          <w:rFonts w:ascii="Century Gothic" w:hAnsi="Century Gothic"/>
        </w:rPr>
        <w:t xml:space="preserve">…the business </w:t>
      </w:r>
      <w:r w:rsidR="004E7228">
        <w:rPr>
          <w:rFonts w:ascii="Century Gothic" w:hAnsi="Century Gothic"/>
        </w:rPr>
        <w:t xml:space="preserve">might </w:t>
      </w:r>
      <w:r>
        <w:rPr>
          <w:rFonts w:ascii="Century Gothic" w:hAnsi="Century Gothic"/>
        </w:rPr>
        <w:t xml:space="preserve">want to maintain or </w:t>
      </w:r>
      <w:r w:rsidR="004E7228">
        <w:rPr>
          <w:rFonts w:ascii="Century Gothic" w:hAnsi="Century Gothic"/>
        </w:rPr>
        <w:t xml:space="preserve">consider it politic or </w:t>
      </w:r>
      <w:r>
        <w:rPr>
          <w:rFonts w:ascii="Century Gothic" w:hAnsi="Century Gothic"/>
        </w:rPr>
        <w:t>expedient to maintain undiminished….. during the interruption period, such as,…wages of certain class</w:t>
      </w:r>
      <w:r w:rsidR="00BA3196">
        <w:rPr>
          <w:rFonts w:ascii="Century Gothic" w:hAnsi="Century Gothic"/>
        </w:rPr>
        <w:t>es of</w:t>
      </w:r>
      <w:r>
        <w:rPr>
          <w:rFonts w:ascii="Century Gothic" w:hAnsi="Century Gothic"/>
        </w:rPr>
        <w:t xml:space="preserve"> employees, </w:t>
      </w:r>
      <w:r w:rsidR="00BA3196">
        <w:rPr>
          <w:rFonts w:ascii="Century Gothic" w:hAnsi="Century Gothic"/>
        </w:rPr>
        <w:t xml:space="preserve">advertising (except under contract), donations (except as pledged). It is </w:t>
      </w:r>
      <w:r w:rsidR="00BA3196" w:rsidRPr="00BA3196">
        <w:rPr>
          <w:rFonts w:ascii="Century Gothic" w:hAnsi="Century Gothic"/>
          <w:b/>
        </w:rPr>
        <w:t>common practice to insure such expenses as standing charges</w:t>
      </w:r>
      <w:r w:rsidR="00BA3196">
        <w:rPr>
          <w:rFonts w:ascii="Century Gothic" w:hAnsi="Century Gothic"/>
        </w:rPr>
        <w:t xml:space="preserve"> if the client so wishes...”. (emphasis mine).</w:t>
      </w:r>
    </w:p>
    <w:p w14:paraId="51ED0449" w14:textId="0129D795" w:rsidR="00BA3196" w:rsidRDefault="00BA3196" w:rsidP="007F2823">
      <w:pPr>
        <w:pStyle w:val="NoSpacing"/>
        <w:jc w:val="both"/>
        <w:rPr>
          <w:rFonts w:ascii="Century Gothic" w:hAnsi="Century Gothic"/>
        </w:rPr>
      </w:pPr>
    </w:p>
    <w:p w14:paraId="3707A2D5" w14:textId="77777777" w:rsidR="00BE7AB5" w:rsidRDefault="00BA3196" w:rsidP="007F2823">
      <w:pPr>
        <w:pStyle w:val="NoSpacing"/>
        <w:jc w:val="both"/>
        <w:rPr>
          <w:rFonts w:ascii="Century Gothic" w:hAnsi="Century Gothic"/>
        </w:rPr>
      </w:pPr>
      <w:r>
        <w:rPr>
          <w:rFonts w:ascii="Century Gothic" w:hAnsi="Century Gothic"/>
        </w:rPr>
        <w:t>It is surmised that insuring optional charges as standing charges would be subject to the proportiona</w:t>
      </w:r>
      <w:r w:rsidR="009567EB">
        <w:rPr>
          <w:rFonts w:ascii="Century Gothic" w:hAnsi="Century Gothic"/>
        </w:rPr>
        <w:t>te</w:t>
      </w:r>
      <w:r>
        <w:rPr>
          <w:rFonts w:ascii="Century Gothic" w:hAnsi="Century Gothic"/>
        </w:rPr>
        <w:t xml:space="preserve"> reduction (average) condition </w:t>
      </w:r>
      <w:r w:rsidR="00D36138">
        <w:rPr>
          <w:rFonts w:ascii="Century Gothic" w:hAnsi="Century Gothic"/>
        </w:rPr>
        <w:t xml:space="preserve">whereas insuring Depreciation, as a standalone </w:t>
      </w:r>
      <w:r w:rsidR="009567EB">
        <w:rPr>
          <w:rFonts w:ascii="Century Gothic" w:hAnsi="Century Gothic"/>
        </w:rPr>
        <w:t xml:space="preserve">item </w:t>
      </w:r>
      <w:r w:rsidR="00D36138">
        <w:rPr>
          <w:rFonts w:ascii="Century Gothic" w:hAnsi="Century Gothic"/>
        </w:rPr>
        <w:t xml:space="preserve">with </w:t>
      </w:r>
      <w:r w:rsidR="009177AA">
        <w:rPr>
          <w:rFonts w:ascii="Century Gothic" w:hAnsi="Century Gothic"/>
        </w:rPr>
        <w:t xml:space="preserve">a </w:t>
      </w:r>
      <w:r w:rsidR="00D36138">
        <w:rPr>
          <w:rFonts w:ascii="Century Gothic" w:hAnsi="Century Gothic"/>
        </w:rPr>
        <w:t>limit of liability basis</w:t>
      </w:r>
      <w:r w:rsidR="00D36138">
        <w:rPr>
          <w:rStyle w:val="FootnoteReference"/>
          <w:rFonts w:ascii="Century Gothic" w:hAnsi="Century Gothic"/>
        </w:rPr>
        <w:footnoteReference w:id="25"/>
      </w:r>
      <w:r w:rsidR="00D36138">
        <w:rPr>
          <w:rFonts w:ascii="Century Gothic" w:hAnsi="Century Gothic"/>
        </w:rPr>
        <w:t xml:space="preserve"> would escape this condition. </w:t>
      </w:r>
    </w:p>
    <w:p w14:paraId="5229BBCE" w14:textId="77777777" w:rsidR="00BE7AB5" w:rsidRDefault="00BE7AB5" w:rsidP="007F2823">
      <w:pPr>
        <w:pStyle w:val="NoSpacing"/>
        <w:jc w:val="both"/>
        <w:rPr>
          <w:rFonts w:ascii="Century Gothic" w:hAnsi="Century Gothic"/>
        </w:rPr>
      </w:pPr>
    </w:p>
    <w:p w14:paraId="3D402F31" w14:textId="6E22C444" w:rsidR="00BA3196" w:rsidRDefault="00BE7AB5" w:rsidP="007F2823">
      <w:pPr>
        <w:pStyle w:val="NoSpacing"/>
        <w:jc w:val="both"/>
        <w:rPr>
          <w:rFonts w:ascii="Century Gothic" w:hAnsi="Century Gothic"/>
        </w:rPr>
      </w:pPr>
      <w:r>
        <w:rPr>
          <w:rFonts w:ascii="Century Gothic" w:hAnsi="Century Gothic"/>
        </w:rPr>
        <w:t>Going further, in order to avoid any confusion and misconception on the understanding of depreciation, it would be necessary to quote Hickmott</w:t>
      </w:r>
      <w:r w:rsidR="00E71918">
        <w:rPr>
          <w:rStyle w:val="FootnoteReference"/>
          <w:rFonts w:ascii="Century Gothic" w:hAnsi="Century Gothic"/>
        </w:rPr>
        <w:footnoteReference w:id="26"/>
      </w:r>
      <w:r>
        <w:rPr>
          <w:rFonts w:ascii="Century Gothic" w:hAnsi="Century Gothic"/>
        </w:rPr>
        <w:t xml:space="preserve"> that </w:t>
      </w:r>
      <w:r w:rsidR="00D36138">
        <w:rPr>
          <w:rFonts w:ascii="Century Gothic" w:hAnsi="Century Gothic"/>
        </w:rPr>
        <w:t xml:space="preserve"> </w:t>
      </w:r>
    </w:p>
    <w:p w14:paraId="56EB2448" w14:textId="15DBB573" w:rsidR="00BE7AB5" w:rsidRDefault="00BE7AB5" w:rsidP="006A501E">
      <w:pPr>
        <w:pStyle w:val="NoSpacing"/>
        <w:jc w:val="both"/>
        <w:rPr>
          <w:rFonts w:ascii="Century Gothic" w:hAnsi="Century Gothic"/>
        </w:rPr>
      </w:pPr>
    </w:p>
    <w:p w14:paraId="38CAD60C" w14:textId="77777777" w:rsidR="00E71918" w:rsidRDefault="00E22F3D" w:rsidP="006A501E">
      <w:pPr>
        <w:pStyle w:val="NoSpacing"/>
        <w:jc w:val="both"/>
        <w:rPr>
          <w:rFonts w:ascii="Century Gothic" w:hAnsi="Century Gothic"/>
        </w:rPr>
      </w:pPr>
      <w:r>
        <w:rPr>
          <w:rFonts w:ascii="Century Gothic" w:hAnsi="Century Gothic"/>
        </w:rPr>
        <w:t xml:space="preserve">      “When the insured standing charge of depreciation is thus described it is not </w:t>
      </w:r>
    </w:p>
    <w:p w14:paraId="32BB1161" w14:textId="77777777" w:rsidR="00E71918" w:rsidRDefault="00E71918" w:rsidP="006A501E">
      <w:pPr>
        <w:pStyle w:val="NoSpacing"/>
        <w:jc w:val="both"/>
        <w:rPr>
          <w:rFonts w:ascii="Century Gothic" w:hAnsi="Century Gothic"/>
        </w:rPr>
      </w:pPr>
      <w:r>
        <w:rPr>
          <w:rFonts w:ascii="Century Gothic" w:hAnsi="Century Gothic"/>
        </w:rPr>
        <w:t xml:space="preserve">        </w:t>
      </w:r>
      <w:r w:rsidR="00E22F3D">
        <w:rPr>
          <w:rFonts w:ascii="Century Gothic" w:hAnsi="Century Gothic"/>
        </w:rPr>
        <w:t>to be</w:t>
      </w:r>
      <w:r>
        <w:rPr>
          <w:rFonts w:ascii="Century Gothic" w:hAnsi="Century Gothic"/>
        </w:rPr>
        <w:t xml:space="preserve"> </w:t>
      </w:r>
      <w:r w:rsidR="00E22F3D">
        <w:rPr>
          <w:rFonts w:ascii="Century Gothic" w:hAnsi="Century Gothic"/>
        </w:rPr>
        <w:t xml:space="preserve">construed </w:t>
      </w:r>
      <w:r>
        <w:rPr>
          <w:rFonts w:ascii="Century Gothic" w:hAnsi="Century Gothic"/>
        </w:rPr>
        <w:t xml:space="preserve">as meaning that the insured charge is merely that proportion </w:t>
      </w:r>
    </w:p>
    <w:p w14:paraId="44DA027B" w14:textId="77777777" w:rsidR="00E71918" w:rsidRDefault="00E71918" w:rsidP="006A501E">
      <w:pPr>
        <w:pStyle w:val="NoSpacing"/>
        <w:jc w:val="both"/>
        <w:rPr>
          <w:rFonts w:ascii="Century Gothic" w:hAnsi="Century Gothic"/>
        </w:rPr>
      </w:pPr>
      <w:r>
        <w:rPr>
          <w:rFonts w:ascii="Century Gothic" w:hAnsi="Century Gothic"/>
        </w:rPr>
        <w:t xml:space="preserve">        of depreciation that remains to be charged in respect of assets not destroyed.</w:t>
      </w:r>
    </w:p>
    <w:p w14:paraId="28CCC7B5" w14:textId="2D326897" w:rsidR="00BE7AB5" w:rsidRDefault="00E71918" w:rsidP="006A501E">
      <w:pPr>
        <w:pStyle w:val="NoSpacing"/>
        <w:jc w:val="both"/>
        <w:rPr>
          <w:rFonts w:ascii="Century Gothic" w:hAnsi="Century Gothic"/>
        </w:rPr>
      </w:pPr>
      <w:r>
        <w:rPr>
          <w:rFonts w:ascii="Century Gothic" w:hAnsi="Century Gothic"/>
        </w:rPr>
        <w:t xml:space="preserve">        The </w:t>
      </w:r>
      <w:r w:rsidRPr="00C80068">
        <w:rPr>
          <w:rFonts w:ascii="Century Gothic" w:hAnsi="Century Gothic"/>
          <w:b/>
        </w:rPr>
        <w:t>insured charge is the full annual depreciation charge on the fixed asset</w:t>
      </w:r>
      <w:r>
        <w:rPr>
          <w:rFonts w:ascii="Century Gothic" w:hAnsi="Century Gothic"/>
        </w:rPr>
        <w:t xml:space="preserve"> </w:t>
      </w:r>
    </w:p>
    <w:p w14:paraId="3B8BB51F" w14:textId="77777777" w:rsidR="00E71918" w:rsidRDefault="00E71918" w:rsidP="006A501E">
      <w:pPr>
        <w:pStyle w:val="NoSpacing"/>
        <w:jc w:val="both"/>
        <w:rPr>
          <w:rFonts w:ascii="Century Gothic" w:hAnsi="Century Gothic"/>
        </w:rPr>
      </w:pPr>
      <w:r>
        <w:rPr>
          <w:rFonts w:ascii="Century Gothic" w:hAnsi="Century Gothic"/>
        </w:rPr>
        <w:t xml:space="preserve">        </w:t>
      </w:r>
      <w:r w:rsidRPr="00C80068">
        <w:rPr>
          <w:rFonts w:ascii="Century Gothic" w:hAnsi="Century Gothic"/>
          <w:b/>
        </w:rPr>
        <w:t>as existing prior to the fire</w:t>
      </w:r>
      <w:r>
        <w:rPr>
          <w:rFonts w:ascii="Century Gothic" w:hAnsi="Century Gothic"/>
        </w:rPr>
        <w:t xml:space="preserve">. If the assets are destroyed or damaged, as a result </w:t>
      </w:r>
    </w:p>
    <w:p w14:paraId="01E3453F" w14:textId="08DFEE87" w:rsidR="00E71918" w:rsidRDefault="00E71918" w:rsidP="006A501E">
      <w:pPr>
        <w:pStyle w:val="NoSpacing"/>
        <w:jc w:val="both"/>
        <w:rPr>
          <w:rFonts w:ascii="Century Gothic" w:hAnsi="Century Gothic"/>
        </w:rPr>
      </w:pPr>
      <w:r>
        <w:rPr>
          <w:rFonts w:ascii="Century Gothic" w:hAnsi="Century Gothic"/>
        </w:rPr>
        <w:t xml:space="preserve">        the charge ceases or is reduced, the amount of </w:t>
      </w:r>
      <w:r w:rsidRPr="00367CB3">
        <w:rPr>
          <w:rFonts w:ascii="Century Gothic" w:hAnsi="Century Gothic"/>
          <w:b/>
        </w:rPr>
        <w:t>cessation of reduction</w:t>
      </w:r>
      <w:r>
        <w:rPr>
          <w:rFonts w:ascii="Century Gothic" w:hAnsi="Century Gothic"/>
        </w:rPr>
        <w:t xml:space="preserve"> must </w:t>
      </w:r>
    </w:p>
    <w:p w14:paraId="3AAA6C06" w14:textId="7764219A" w:rsidR="00BE7AB5" w:rsidRDefault="00E71918" w:rsidP="006A501E">
      <w:pPr>
        <w:pStyle w:val="NoSpacing"/>
        <w:jc w:val="both"/>
        <w:rPr>
          <w:rFonts w:ascii="Century Gothic" w:hAnsi="Century Gothic"/>
        </w:rPr>
      </w:pPr>
      <w:r>
        <w:rPr>
          <w:rFonts w:ascii="Century Gothic" w:hAnsi="Century Gothic"/>
        </w:rPr>
        <w:t xml:space="preserve">        </w:t>
      </w:r>
      <w:r w:rsidRPr="00367CB3">
        <w:rPr>
          <w:rFonts w:ascii="Century Gothic" w:hAnsi="Century Gothic"/>
          <w:b/>
        </w:rPr>
        <w:t>be treated as savings</w:t>
      </w:r>
      <w:r>
        <w:rPr>
          <w:rFonts w:ascii="Century Gothic" w:hAnsi="Century Gothic"/>
        </w:rPr>
        <w:t xml:space="preserve"> in the insured standing charge”</w:t>
      </w:r>
      <w:r>
        <w:rPr>
          <w:rStyle w:val="FootnoteReference"/>
          <w:rFonts w:ascii="Century Gothic" w:hAnsi="Century Gothic"/>
        </w:rPr>
        <w:footnoteReference w:id="27"/>
      </w:r>
      <w:r w:rsidR="00C80068">
        <w:rPr>
          <w:rFonts w:ascii="Century Gothic" w:hAnsi="Century Gothic"/>
        </w:rPr>
        <w:t>(emphasis mine</w:t>
      </w:r>
      <w:r w:rsidR="004B49BD">
        <w:rPr>
          <w:rFonts w:ascii="Century Gothic" w:hAnsi="Century Gothic"/>
        </w:rPr>
        <w:t>)</w:t>
      </w:r>
      <w:r w:rsidR="00C80068">
        <w:rPr>
          <w:rFonts w:ascii="Century Gothic" w:hAnsi="Century Gothic"/>
        </w:rPr>
        <w:t>.</w:t>
      </w:r>
    </w:p>
    <w:p w14:paraId="2E553F88" w14:textId="77777777" w:rsidR="002723C5" w:rsidRDefault="002723C5" w:rsidP="007F2823">
      <w:pPr>
        <w:pStyle w:val="NoSpacing"/>
        <w:jc w:val="both"/>
        <w:rPr>
          <w:rFonts w:ascii="Century Gothic" w:hAnsi="Century Gothic"/>
          <w:b/>
        </w:rPr>
      </w:pPr>
    </w:p>
    <w:p w14:paraId="65C7F2FA" w14:textId="7B93F9E7" w:rsidR="002A024E" w:rsidRPr="00AB23AB" w:rsidRDefault="00A11435" w:rsidP="007F2823">
      <w:pPr>
        <w:pStyle w:val="NoSpacing"/>
        <w:jc w:val="both"/>
        <w:rPr>
          <w:rFonts w:ascii="Century Gothic" w:hAnsi="Century Gothic"/>
          <w:b/>
        </w:rPr>
      </w:pPr>
      <w:r>
        <w:rPr>
          <w:rFonts w:ascii="Century Gothic" w:hAnsi="Century Gothic"/>
          <w:b/>
        </w:rPr>
        <w:t>iii</w:t>
      </w:r>
      <w:r w:rsidR="00D52194" w:rsidRPr="00AB23AB">
        <w:rPr>
          <w:rFonts w:ascii="Century Gothic" w:hAnsi="Century Gothic"/>
          <w:b/>
        </w:rPr>
        <w:t xml:space="preserve">) </w:t>
      </w:r>
      <w:r w:rsidR="000859B3" w:rsidRPr="00AB23AB">
        <w:rPr>
          <w:rFonts w:ascii="Century Gothic" w:hAnsi="Century Gothic"/>
          <w:b/>
          <w:u w:val="single"/>
        </w:rPr>
        <w:t>Business Interruption Insurance; Theory and Practice</w:t>
      </w:r>
      <w:r w:rsidR="000859B3" w:rsidRPr="00AB23AB">
        <w:rPr>
          <w:rFonts w:ascii="Century Gothic" w:hAnsi="Century Gothic"/>
          <w:b/>
        </w:rPr>
        <w:t xml:space="preserve"> </w:t>
      </w:r>
    </w:p>
    <w:p w14:paraId="33C745BF" w14:textId="378CA470" w:rsidR="003A7091" w:rsidRDefault="000859B3" w:rsidP="007F2823">
      <w:pPr>
        <w:pStyle w:val="NoSpacing"/>
        <w:jc w:val="both"/>
        <w:rPr>
          <w:rFonts w:ascii="Century Gothic" w:hAnsi="Century Gothic"/>
        </w:rPr>
      </w:pPr>
      <w:r>
        <w:rPr>
          <w:rFonts w:ascii="Century Gothic" w:hAnsi="Century Gothic"/>
        </w:rPr>
        <w:t xml:space="preserve">     First edition (1992) by Edwin H. Gamlen FCII, and John H.P. Phillips FCII</w:t>
      </w:r>
    </w:p>
    <w:p w14:paraId="2486A3D6" w14:textId="23A27EDD" w:rsidR="000859B3" w:rsidRDefault="000859B3" w:rsidP="007F2823">
      <w:pPr>
        <w:pStyle w:val="NoSpacing"/>
        <w:jc w:val="both"/>
        <w:rPr>
          <w:rFonts w:ascii="Century Gothic" w:hAnsi="Century Gothic"/>
        </w:rPr>
      </w:pPr>
      <w:r>
        <w:rPr>
          <w:rFonts w:ascii="Century Gothic" w:hAnsi="Century Gothic"/>
        </w:rPr>
        <w:t xml:space="preserve">     (Gamlen &amp; Phillips)</w:t>
      </w:r>
    </w:p>
    <w:p w14:paraId="2BE9A360" w14:textId="3D2D7177" w:rsidR="000859B3" w:rsidRDefault="000859B3" w:rsidP="007F2823">
      <w:pPr>
        <w:pStyle w:val="NoSpacing"/>
        <w:jc w:val="both"/>
        <w:rPr>
          <w:rFonts w:ascii="Century Gothic" w:hAnsi="Century Gothic"/>
        </w:rPr>
      </w:pPr>
    </w:p>
    <w:p w14:paraId="1366C909" w14:textId="1982B561" w:rsidR="000859B3" w:rsidRDefault="000859B3" w:rsidP="007F2823">
      <w:pPr>
        <w:pStyle w:val="NoSpacing"/>
        <w:jc w:val="both"/>
        <w:rPr>
          <w:rFonts w:ascii="Century Gothic" w:hAnsi="Century Gothic"/>
        </w:rPr>
      </w:pPr>
      <w:r>
        <w:rPr>
          <w:rFonts w:ascii="Century Gothic" w:hAnsi="Century Gothic"/>
        </w:rPr>
        <w:t xml:space="preserve">The learned authors opined that Depreciation </w:t>
      </w:r>
      <w:r w:rsidR="00AB23AB">
        <w:rPr>
          <w:rFonts w:ascii="Century Gothic" w:hAnsi="Century Gothic"/>
        </w:rPr>
        <w:t>“ in the Accounts is the writing down in value of the assets of the firm. ….it is a reduction in the amount of Net Profit and constitutes the creation of a reserve for the future purchase of replacement assets</w:t>
      </w:r>
      <w:r w:rsidR="00C17AAD">
        <w:rPr>
          <w:rStyle w:val="FootnoteReference"/>
          <w:rFonts w:ascii="Century Gothic" w:hAnsi="Century Gothic"/>
        </w:rPr>
        <w:footnoteReference w:id="28"/>
      </w:r>
      <w:r w:rsidR="000C75E0">
        <w:rPr>
          <w:rFonts w:ascii="Century Gothic" w:hAnsi="Century Gothic"/>
        </w:rPr>
        <w:t>.</w:t>
      </w:r>
      <w:r w:rsidR="00AB23AB">
        <w:rPr>
          <w:rFonts w:ascii="Century Gothic" w:hAnsi="Century Gothic"/>
        </w:rPr>
        <w:t>”.</w:t>
      </w:r>
    </w:p>
    <w:p w14:paraId="583AB63C" w14:textId="5F6E0CB6" w:rsidR="00AB23AB" w:rsidRDefault="00AB23AB" w:rsidP="007F2823">
      <w:pPr>
        <w:pStyle w:val="NoSpacing"/>
        <w:jc w:val="both"/>
        <w:rPr>
          <w:rFonts w:ascii="Century Gothic" w:hAnsi="Century Gothic"/>
        </w:rPr>
      </w:pPr>
    </w:p>
    <w:p w14:paraId="1BEA980F" w14:textId="07F0EBC4" w:rsidR="00AB23AB" w:rsidRDefault="008D5506" w:rsidP="007F2823">
      <w:pPr>
        <w:pStyle w:val="NoSpacing"/>
        <w:jc w:val="both"/>
        <w:rPr>
          <w:rFonts w:ascii="Century Gothic" w:hAnsi="Century Gothic"/>
        </w:rPr>
      </w:pPr>
      <w:r>
        <w:rPr>
          <w:rFonts w:ascii="Century Gothic" w:hAnsi="Century Gothic"/>
        </w:rPr>
        <w:t>The first limb of their statement is in line with the provisions of the Act</w:t>
      </w:r>
      <w:r>
        <w:rPr>
          <w:rStyle w:val="FootnoteReference"/>
          <w:rFonts w:ascii="Century Gothic" w:hAnsi="Century Gothic"/>
        </w:rPr>
        <w:footnoteReference w:id="29"/>
      </w:r>
      <w:r>
        <w:rPr>
          <w:rFonts w:ascii="Century Gothic" w:hAnsi="Century Gothic"/>
        </w:rPr>
        <w:t xml:space="preserve"> while the second limb is not so.</w:t>
      </w:r>
    </w:p>
    <w:p w14:paraId="4091707B" w14:textId="78D052A5" w:rsidR="008D5506" w:rsidRDefault="008D5506" w:rsidP="007F2823">
      <w:pPr>
        <w:pStyle w:val="NoSpacing"/>
        <w:jc w:val="both"/>
        <w:rPr>
          <w:rFonts w:ascii="Century Gothic" w:hAnsi="Century Gothic"/>
        </w:rPr>
      </w:pPr>
    </w:p>
    <w:p w14:paraId="671D56C0" w14:textId="0ED63A4E" w:rsidR="00C368AE" w:rsidRDefault="000C75E0" w:rsidP="007F2823">
      <w:pPr>
        <w:pStyle w:val="NoSpacing"/>
        <w:jc w:val="both"/>
        <w:rPr>
          <w:rFonts w:ascii="Century Gothic" w:hAnsi="Century Gothic"/>
        </w:rPr>
      </w:pPr>
      <w:r>
        <w:rPr>
          <w:rFonts w:ascii="Century Gothic" w:hAnsi="Century Gothic"/>
        </w:rPr>
        <w:lastRenderedPageBreak/>
        <w:t>They concluded that “Depreciation</w:t>
      </w:r>
      <w:r w:rsidR="000C0C82">
        <w:rPr>
          <w:rStyle w:val="FootnoteReference"/>
          <w:rFonts w:ascii="Century Gothic" w:hAnsi="Century Gothic"/>
        </w:rPr>
        <w:footnoteReference w:id="30"/>
      </w:r>
      <w:r>
        <w:rPr>
          <w:rFonts w:ascii="Century Gothic" w:hAnsi="Century Gothic"/>
        </w:rPr>
        <w:t xml:space="preserve"> is treated as a standing charge” </w:t>
      </w:r>
      <w:r w:rsidR="00C368AE">
        <w:rPr>
          <w:rFonts w:ascii="Century Gothic" w:hAnsi="Century Gothic"/>
        </w:rPr>
        <w:t xml:space="preserve">. Here, it is unclear as to why did the learned authors aver ‘Depreciation is </w:t>
      </w:r>
      <w:r w:rsidR="00C368AE" w:rsidRPr="00C368AE">
        <w:rPr>
          <w:rFonts w:ascii="Century Gothic" w:hAnsi="Century Gothic"/>
          <w:b/>
        </w:rPr>
        <w:t>treated</w:t>
      </w:r>
      <w:r w:rsidR="00C368AE">
        <w:rPr>
          <w:rFonts w:ascii="Century Gothic" w:hAnsi="Century Gothic"/>
        </w:rPr>
        <w:t xml:space="preserve"> as a standing charge,’ instead of simply stating ‘Depreciation is a standing charge’?</w:t>
      </w:r>
      <w:r w:rsidR="00B77B26">
        <w:rPr>
          <w:rFonts w:ascii="Century Gothic" w:hAnsi="Century Gothic"/>
        </w:rPr>
        <w:t xml:space="preserve"> </w:t>
      </w:r>
      <w:r w:rsidR="00C368AE">
        <w:rPr>
          <w:rFonts w:ascii="Century Gothic" w:hAnsi="Century Gothic"/>
        </w:rPr>
        <w:t xml:space="preserve">(emphasis mine). Notwithstanding the semantics, these are different connotations, for example, </w:t>
      </w:r>
      <w:r w:rsidR="00B77B26">
        <w:rPr>
          <w:rFonts w:ascii="Century Gothic" w:hAnsi="Century Gothic"/>
        </w:rPr>
        <w:t>‘</w:t>
      </w:r>
      <w:r w:rsidR="00C368AE">
        <w:rPr>
          <w:rFonts w:ascii="Century Gothic" w:hAnsi="Century Gothic"/>
        </w:rPr>
        <w:t>John is treated as Tom’s son</w:t>
      </w:r>
      <w:r w:rsidR="00B77B26">
        <w:rPr>
          <w:rFonts w:ascii="Century Gothic" w:hAnsi="Century Gothic"/>
        </w:rPr>
        <w:t>’</w:t>
      </w:r>
      <w:r w:rsidR="00C368AE">
        <w:rPr>
          <w:rFonts w:ascii="Century Gothic" w:hAnsi="Century Gothic"/>
        </w:rPr>
        <w:t xml:space="preserve"> as compared to </w:t>
      </w:r>
      <w:r w:rsidR="00B77B26">
        <w:rPr>
          <w:rFonts w:ascii="Century Gothic" w:hAnsi="Century Gothic"/>
        </w:rPr>
        <w:t>‘</w:t>
      </w:r>
      <w:r w:rsidR="00C368AE">
        <w:rPr>
          <w:rFonts w:ascii="Century Gothic" w:hAnsi="Century Gothic"/>
        </w:rPr>
        <w:t>John is Tom’s son</w:t>
      </w:r>
      <w:r w:rsidR="00B77B26">
        <w:rPr>
          <w:rFonts w:ascii="Century Gothic" w:hAnsi="Century Gothic"/>
        </w:rPr>
        <w:t>’</w:t>
      </w:r>
      <w:r w:rsidR="00C368AE">
        <w:rPr>
          <w:rFonts w:ascii="Century Gothic" w:hAnsi="Century Gothic"/>
        </w:rPr>
        <w:t>.</w:t>
      </w:r>
    </w:p>
    <w:p w14:paraId="13B1A3CF" w14:textId="77777777" w:rsidR="00C368AE" w:rsidRDefault="00C368AE" w:rsidP="007F2823">
      <w:pPr>
        <w:pStyle w:val="NoSpacing"/>
        <w:jc w:val="both"/>
        <w:rPr>
          <w:rFonts w:ascii="Century Gothic" w:hAnsi="Century Gothic"/>
        </w:rPr>
      </w:pPr>
    </w:p>
    <w:p w14:paraId="6AFF7E39" w14:textId="143ED4CC" w:rsidR="000C75E0" w:rsidRDefault="00C368AE" w:rsidP="007F2823">
      <w:pPr>
        <w:pStyle w:val="NoSpacing"/>
        <w:jc w:val="both"/>
        <w:rPr>
          <w:rFonts w:ascii="Century Gothic" w:hAnsi="Century Gothic"/>
        </w:rPr>
      </w:pPr>
      <w:r>
        <w:rPr>
          <w:rFonts w:ascii="Century Gothic" w:hAnsi="Century Gothic"/>
        </w:rPr>
        <w:t>Further, ‘Depreciation is treated as a standing charge’</w:t>
      </w:r>
      <w:r w:rsidR="000C75E0">
        <w:rPr>
          <w:rFonts w:ascii="Century Gothic" w:hAnsi="Century Gothic"/>
        </w:rPr>
        <w:t xml:space="preserve"> would appear to be inconsistent with the narrative </w:t>
      </w:r>
      <w:r>
        <w:rPr>
          <w:rFonts w:ascii="Century Gothic" w:hAnsi="Century Gothic"/>
        </w:rPr>
        <w:t>that depreciation”</w:t>
      </w:r>
      <w:r w:rsidR="00B77B26">
        <w:rPr>
          <w:rFonts w:ascii="Century Gothic" w:hAnsi="Century Gothic"/>
        </w:rPr>
        <w:t xml:space="preserve"> </w:t>
      </w:r>
      <w:r w:rsidR="000C75E0">
        <w:rPr>
          <w:rFonts w:ascii="Century Gothic" w:hAnsi="Century Gothic"/>
        </w:rPr>
        <w:t>is a reduction in the amount of the Net Profit</w:t>
      </w:r>
      <w:r w:rsidR="004C7185">
        <w:rPr>
          <w:rFonts w:ascii="Century Gothic" w:hAnsi="Century Gothic"/>
        </w:rPr>
        <w:t xml:space="preserve"> and constitutes the creation of a reserve for the future purchases of replacement assets</w:t>
      </w:r>
      <w:r w:rsidR="000C75E0">
        <w:rPr>
          <w:rFonts w:ascii="Century Gothic" w:hAnsi="Century Gothic"/>
        </w:rPr>
        <w:t>”</w:t>
      </w:r>
      <w:r>
        <w:rPr>
          <w:rFonts w:ascii="Century Gothic" w:hAnsi="Century Gothic"/>
        </w:rPr>
        <w:t xml:space="preserve"> (see the opening paragraph above).</w:t>
      </w:r>
    </w:p>
    <w:p w14:paraId="2E8F0928" w14:textId="77777777" w:rsidR="00230731" w:rsidRDefault="00230731" w:rsidP="007F2823">
      <w:pPr>
        <w:pStyle w:val="NoSpacing"/>
        <w:jc w:val="both"/>
        <w:rPr>
          <w:rFonts w:ascii="Century Gothic" w:hAnsi="Century Gothic"/>
        </w:rPr>
      </w:pPr>
    </w:p>
    <w:p w14:paraId="72904DA7" w14:textId="4A580A46" w:rsidR="004C7185" w:rsidRDefault="004C7185" w:rsidP="007F2823">
      <w:pPr>
        <w:pStyle w:val="NoSpacing"/>
        <w:jc w:val="both"/>
        <w:rPr>
          <w:rFonts w:ascii="Century Gothic" w:hAnsi="Century Gothic"/>
        </w:rPr>
      </w:pPr>
      <w:r>
        <w:rPr>
          <w:rFonts w:ascii="Century Gothic" w:hAnsi="Century Gothic"/>
        </w:rPr>
        <w:t>According to Hickmott, the term “standing charge</w:t>
      </w:r>
      <w:r w:rsidR="000C0C82">
        <w:rPr>
          <w:rStyle w:val="FootnoteReference"/>
          <w:rFonts w:ascii="Century Gothic" w:hAnsi="Century Gothic"/>
        </w:rPr>
        <w:footnoteReference w:id="31"/>
      </w:r>
      <w:r>
        <w:rPr>
          <w:rFonts w:ascii="Century Gothic" w:hAnsi="Century Gothic"/>
        </w:rPr>
        <w:t>” connotes something that is substantially invariable – a charge which must continue payable out of earnings while earnings continue and out of capital when earnings cease”.</w:t>
      </w:r>
    </w:p>
    <w:p w14:paraId="0557106F" w14:textId="77777777" w:rsidR="000C75E0" w:rsidRDefault="000C75E0" w:rsidP="007F2823">
      <w:pPr>
        <w:pStyle w:val="NoSpacing"/>
        <w:jc w:val="both"/>
        <w:rPr>
          <w:rFonts w:ascii="Century Gothic" w:hAnsi="Century Gothic"/>
        </w:rPr>
      </w:pPr>
    </w:p>
    <w:p w14:paraId="3DD461D8" w14:textId="7B49945A" w:rsidR="008D5506" w:rsidRDefault="008D5506" w:rsidP="007F2823">
      <w:pPr>
        <w:pStyle w:val="NoSpacing"/>
        <w:jc w:val="both"/>
        <w:rPr>
          <w:rFonts w:ascii="Century Gothic" w:hAnsi="Century Gothic"/>
        </w:rPr>
      </w:pPr>
      <w:r>
        <w:rPr>
          <w:rFonts w:ascii="Century Gothic" w:hAnsi="Century Gothic"/>
        </w:rPr>
        <w:t>In any case, Gamlen &amp; Phillips pre-dated the IFRS Accounting Standards.</w:t>
      </w:r>
    </w:p>
    <w:p w14:paraId="50CD2E64" w14:textId="6A79892B" w:rsidR="00E940ED" w:rsidRDefault="00E940ED" w:rsidP="007F2823">
      <w:pPr>
        <w:pStyle w:val="NoSpacing"/>
        <w:jc w:val="both"/>
        <w:rPr>
          <w:rFonts w:ascii="Century Gothic" w:hAnsi="Century Gothic"/>
        </w:rPr>
      </w:pPr>
    </w:p>
    <w:p w14:paraId="53902477" w14:textId="27B345FA" w:rsidR="00E940ED" w:rsidRPr="00E940ED" w:rsidRDefault="00A11435" w:rsidP="007F2823">
      <w:pPr>
        <w:pStyle w:val="NoSpacing"/>
        <w:jc w:val="both"/>
        <w:rPr>
          <w:rFonts w:ascii="Century Gothic" w:hAnsi="Century Gothic"/>
          <w:b/>
          <w:u w:val="single"/>
        </w:rPr>
      </w:pPr>
      <w:r>
        <w:rPr>
          <w:rFonts w:ascii="Century Gothic" w:hAnsi="Century Gothic"/>
          <w:b/>
        </w:rPr>
        <w:t>iv</w:t>
      </w:r>
      <w:r w:rsidR="00E940ED" w:rsidRPr="00E940ED">
        <w:rPr>
          <w:rFonts w:ascii="Century Gothic" w:hAnsi="Century Gothic"/>
          <w:b/>
        </w:rPr>
        <w:t xml:space="preserve">) </w:t>
      </w:r>
      <w:r w:rsidR="00E940ED" w:rsidRPr="00E940ED">
        <w:rPr>
          <w:rFonts w:ascii="Century Gothic" w:hAnsi="Century Gothic"/>
          <w:b/>
          <w:u w:val="single"/>
        </w:rPr>
        <w:t xml:space="preserve">All Risks Property Insurance </w:t>
      </w:r>
    </w:p>
    <w:p w14:paraId="06F78F95" w14:textId="77777777" w:rsidR="00E940ED" w:rsidRDefault="00E940ED" w:rsidP="007F2823">
      <w:pPr>
        <w:pStyle w:val="NoSpacing"/>
        <w:jc w:val="both"/>
        <w:rPr>
          <w:rFonts w:ascii="Century Gothic" w:hAnsi="Century Gothic"/>
        </w:rPr>
      </w:pPr>
      <w:r>
        <w:rPr>
          <w:rFonts w:ascii="Century Gothic" w:hAnsi="Century Gothic"/>
        </w:rPr>
        <w:t xml:space="preserve">     Second edition (1999) by John Hanson M.A. (Oxon), and Christopher Henley LL.B,</w:t>
      </w:r>
    </w:p>
    <w:p w14:paraId="77853BDC" w14:textId="4C324DA7" w:rsidR="00E940ED" w:rsidRDefault="00E940ED" w:rsidP="007F2823">
      <w:pPr>
        <w:pStyle w:val="NoSpacing"/>
        <w:jc w:val="both"/>
        <w:rPr>
          <w:rFonts w:ascii="Century Gothic" w:hAnsi="Century Gothic"/>
        </w:rPr>
      </w:pPr>
      <w:r>
        <w:rPr>
          <w:rFonts w:ascii="Century Gothic" w:hAnsi="Century Gothic"/>
        </w:rPr>
        <w:t xml:space="preserve">     FCII. (Hanson) </w:t>
      </w:r>
    </w:p>
    <w:p w14:paraId="40D9EC77" w14:textId="0351612F" w:rsidR="00E940ED" w:rsidRDefault="00E940ED" w:rsidP="007F2823">
      <w:pPr>
        <w:pStyle w:val="NoSpacing"/>
        <w:jc w:val="both"/>
        <w:rPr>
          <w:rFonts w:ascii="Century Gothic" w:hAnsi="Century Gothic"/>
        </w:rPr>
      </w:pPr>
    </w:p>
    <w:p w14:paraId="07392F77" w14:textId="4D409F6D" w:rsidR="007F2823" w:rsidRDefault="00E940ED" w:rsidP="007F2823">
      <w:pPr>
        <w:pStyle w:val="NoSpacing"/>
        <w:jc w:val="both"/>
        <w:rPr>
          <w:rFonts w:ascii="Century Gothic" w:hAnsi="Century Gothic"/>
        </w:rPr>
      </w:pPr>
      <w:r>
        <w:rPr>
          <w:rFonts w:ascii="Century Gothic" w:hAnsi="Century Gothic"/>
        </w:rPr>
        <w:t xml:space="preserve">     Hanson at page 213 </w:t>
      </w:r>
      <w:r w:rsidR="007F2823">
        <w:rPr>
          <w:rFonts w:ascii="Century Gothic" w:hAnsi="Century Gothic"/>
        </w:rPr>
        <w:t xml:space="preserve">under the heading of </w:t>
      </w:r>
      <w:r w:rsidR="00AF6F7A">
        <w:rPr>
          <w:rFonts w:ascii="Century Gothic" w:hAnsi="Century Gothic"/>
        </w:rPr>
        <w:t>‘</w:t>
      </w:r>
      <w:r w:rsidR="007F2823">
        <w:rPr>
          <w:rFonts w:ascii="Century Gothic" w:hAnsi="Century Gothic"/>
        </w:rPr>
        <w:t>Business Interruption</w:t>
      </w:r>
      <w:r w:rsidR="00AF6F7A">
        <w:rPr>
          <w:rFonts w:ascii="Century Gothic" w:hAnsi="Century Gothic"/>
        </w:rPr>
        <w:t>’</w:t>
      </w:r>
      <w:r w:rsidR="007F2823">
        <w:rPr>
          <w:rFonts w:ascii="Century Gothic" w:hAnsi="Century Gothic"/>
        </w:rPr>
        <w:t xml:space="preserve"> </w:t>
      </w:r>
      <w:r>
        <w:rPr>
          <w:rFonts w:ascii="Century Gothic" w:hAnsi="Century Gothic"/>
        </w:rPr>
        <w:t>stated that</w:t>
      </w:r>
    </w:p>
    <w:p w14:paraId="4331040C" w14:textId="77777777" w:rsidR="00D5484F" w:rsidRDefault="00D5484F" w:rsidP="007F2823">
      <w:pPr>
        <w:pStyle w:val="NoSpacing"/>
        <w:jc w:val="both"/>
        <w:rPr>
          <w:rFonts w:ascii="Century Gothic" w:hAnsi="Century Gothic"/>
        </w:rPr>
      </w:pPr>
    </w:p>
    <w:p w14:paraId="18FD3BE3" w14:textId="77777777" w:rsidR="007F2823" w:rsidRDefault="007F2823" w:rsidP="007F2823">
      <w:pPr>
        <w:pStyle w:val="NoSpacing"/>
        <w:jc w:val="both"/>
        <w:rPr>
          <w:rFonts w:ascii="Century Gothic" w:hAnsi="Century Gothic"/>
        </w:rPr>
      </w:pPr>
      <w:r>
        <w:rPr>
          <w:rFonts w:ascii="Century Gothic" w:hAnsi="Century Gothic"/>
        </w:rPr>
        <w:t xml:space="preserve">  </w:t>
      </w:r>
      <w:r w:rsidR="00E940ED">
        <w:rPr>
          <w:rFonts w:ascii="Century Gothic" w:hAnsi="Century Gothic"/>
        </w:rPr>
        <w:t xml:space="preserve"> “Depreciation is charged as an expense or cost in arriving at the net profit of the</w:t>
      </w:r>
    </w:p>
    <w:p w14:paraId="6409F448" w14:textId="5001A8F2" w:rsidR="00E940ED" w:rsidRDefault="007F2823" w:rsidP="007F2823">
      <w:pPr>
        <w:pStyle w:val="NoSpacing"/>
        <w:jc w:val="both"/>
        <w:rPr>
          <w:rFonts w:ascii="Century Gothic" w:hAnsi="Century Gothic"/>
        </w:rPr>
      </w:pPr>
      <w:r>
        <w:rPr>
          <w:rFonts w:ascii="Century Gothic" w:hAnsi="Century Gothic"/>
        </w:rPr>
        <w:t xml:space="preserve">    </w:t>
      </w:r>
      <w:r w:rsidR="00E940ED">
        <w:rPr>
          <w:rFonts w:ascii="Century Gothic" w:hAnsi="Century Gothic"/>
        </w:rPr>
        <w:t xml:space="preserve"> business</w:t>
      </w:r>
      <w:r>
        <w:rPr>
          <w:rStyle w:val="FootnoteReference"/>
          <w:rFonts w:ascii="Century Gothic" w:hAnsi="Century Gothic"/>
        </w:rPr>
        <w:footnoteReference w:id="32"/>
      </w:r>
      <w:r w:rsidR="00E940ED">
        <w:rPr>
          <w:rFonts w:ascii="Century Gothic" w:hAnsi="Century Gothic"/>
        </w:rPr>
        <w:t>.</w:t>
      </w:r>
    </w:p>
    <w:p w14:paraId="6ABB1963" w14:textId="77777777" w:rsidR="00D0035C" w:rsidRDefault="00D0035C" w:rsidP="007F2823">
      <w:pPr>
        <w:pStyle w:val="NoSpacing"/>
        <w:jc w:val="both"/>
        <w:rPr>
          <w:rFonts w:ascii="Century Gothic" w:hAnsi="Century Gothic"/>
        </w:rPr>
      </w:pPr>
    </w:p>
    <w:p w14:paraId="49998228" w14:textId="4BD4EFAA" w:rsidR="007F2823" w:rsidRDefault="00E940ED" w:rsidP="007F2823">
      <w:pPr>
        <w:pStyle w:val="NoSpacing"/>
        <w:jc w:val="both"/>
        <w:rPr>
          <w:rFonts w:ascii="Century Gothic" w:hAnsi="Century Gothic"/>
        </w:rPr>
      </w:pPr>
      <w:r>
        <w:rPr>
          <w:rFonts w:ascii="Century Gothic" w:hAnsi="Century Gothic"/>
        </w:rPr>
        <w:t xml:space="preserve">    </w:t>
      </w:r>
      <w:r w:rsidR="007F2823">
        <w:rPr>
          <w:rFonts w:ascii="Century Gothic" w:hAnsi="Century Gothic"/>
        </w:rPr>
        <w:t xml:space="preserve"> </w:t>
      </w:r>
      <w:r>
        <w:rPr>
          <w:rFonts w:ascii="Century Gothic" w:hAnsi="Century Gothic"/>
        </w:rPr>
        <w:t>Where the depreciation of an asset is totally or largely dependent on usage,</w:t>
      </w:r>
    </w:p>
    <w:p w14:paraId="6C2FA63B" w14:textId="77777777" w:rsidR="007F2823" w:rsidRDefault="007F2823" w:rsidP="007F2823">
      <w:pPr>
        <w:pStyle w:val="NoSpacing"/>
        <w:jc w:val="both"/>
        <w:rPr>
          <w:rFonts w:ascii="Century Gothic" w:hAnsi="Century Gothic"/>
        </w:rPr>
      </w:pPr>
      <w:r>
        <w:rPr>
          <w:rFonts w:ascii="Century Gothic" w:hAnsi="Century Gothic"/>
        </w:rPr>
        <w:t xml:space="preserve">    </w:t>
      </w:r>
      <w:r w:rsidR="00E940ED">
        <w:rPr>
          <w:rFonts w:ascii="Century Gothic" w:hAnsi="Century Gothic"/>
        </w:rPr>
        <w:t xml:space="preserve"> then, like raw materials, an interruption in the use of the asset will halt or</w:t>
      </w:r>
    </w:p>
    <w:p w14:paraId="05EC834B" w14:textId="77777777" w:rsidR="007F2823" w:rsidRDefault="007F2823" w:rsidP="007F2823">
      <w:pPr>
        <w:pStyle w:val="NoSpacing"/>
        <w:jc w:val="both"/>
        <w:rPr>
          <w:rFonts w:ascii="Century Gothic" w:hAnsi="Century Gothic"/>
        </w:rPr>
      </w:pPr>
      <w:r>
        <w:rPr>
          <w:rFonts w:ascii="Century Gothic" w:hAnsi="Century Gothic"/>
        </w:rPr>
        <w:t xml:space="preserve">    </w:t>
      </w:r>
      <w:r w:rsidR="00E940ED">
        <w:rPr>
          <w:rFonts w:ascii="Century Gothic" w:hAnsi="Century Gothic"/>
        </w:rPr>
        <w:t xml:space="preserve"> substantially </w:t>
      </w:r>
      <w:r>
        <w:rPr>
          <w:rFonts w:ascii="Century Gothic" w:hAnsi="Century Gothic"/>
        </w:rPr>
        <w:t>reduce its depreciation. Where this is clearly the case the insured</w:t>
      </w:r>
    </w:p>
    <w:p w14:paraId="2A0F4D17" w14:textId="42FB3B5A" w:rsidR="007F2823" w:rsidRDefault="007F2823" w:rsidP="007F2823">
      <w:pPr>
        <w:pStyle w:val="NoSpacing"/>
        <w:jc w:val="both"/>
        <w:rPr>
          <w:rFonts w:ascii="Century Gothic" w:hAnsi="Century Gothic"/>
        </w:rPr>
      </w:pPr>
      <w:r>
        <w:rPr>
          <w:rFonts w:ascii="Century Gothic" w:hAnsi="Century Gothic"/>
        </w:rPr>
        <w:t xml:space="preserve">     may wish to regard depreciation as a variable cost to be deducted in arriving at</w:t>
      </w:r>
    </w:p>
    <w:p w14:paraId="1AAC280C" w14:textId="6EAD28DE" w:rsidR="00E940ED" w:rsidRDefault="007F2823" w:rsidP="007F2823">
      <w:pPr>
        <w:pStyle w:val="NoSpacing"/>
        <w:jc w:val="both"/>
        <w:rPr>
          <w:rFonts w:ascii="Century Gothic" w:hAnsi="Century Gothic"/>
        </w:rPr>
      </w:pPr>
      <w:r>
        <w:rPr>
          <w:rFonts w:ascii="Century Gothic" w:hAnsi="Century Gothic"/>
        </w:rPr>
        <w:t xml:space="preserve">     the gross profit”</w:t>
      </w:r>
      <w:r>
        <w:rPr>
          <w:rStyle w:val="FootnoteReference"/>
          <w:rFonts w:ascii="Century Gothic" w:hAnsi="Century Gothic"/>
        </w:rPr>
        <w:footnoteReference w:id="33"/>
      </w:r>
    </w:p>
    <w:p w14:paraId="0405CF8D" w14:textId="29FBCF80" w:rsidR="00016751" w:rsidRDefault="00016751" w:rsidP="007F2823">
      <w:pPr>
        <w:pStyle w:val="NoSpacing"/>
        <w:jc w:val="both"/>
        <w:rPr>
          <w:rFonts w:ascii="Century Gothic" w:hAnsi="Century Gothic"/>
        </w:rPr>
      </w:pPr>
    </w:p>
    <w:p w14:paraId="0D47D107" w14:textId="71564C39" w:rsidR="00016751" w:rsidRDefault="00A11435" w:rsidP="007F2823">
      <w:pPr>
        <w:pStyle w:val="NoSpacing"/>
        <w:jc w:val="both"/>
        <w:rPr>
          <w:rFonts w:ascii="Century Gothic" w:hAnsi="Century Gothic"/>
        </w:rPr>
      </w:pPr>
      <w:r>
        <w:rPr>
          <w:rFonts w:ascii="Century Gothic" w:hAnsi="Century Gothic"/>
          <w:b/>
        </w:rPr>
        <w:t>v</w:t>
      </w:r>
      <w:r w:rsidR="00016751" w:rsidRPr="00016751">
        <w:rPr>
          <w:rFonts w:ascii="Century Gothic" w:hAnsi="Century Gothic"/>
          <w:b/>
        </w:rPr>
        <w:t xml:space="preserve">) </w:t>
      </w:r>
      <w:r w:rsidR="00016751" w:rsidRPr="00016751">
        <w:rPr>
          <w:rFonts w:ascii="Century Gothic" w:hAnsi="Century Gothic"/>
          <w:b/>
          <w:u w:val="single"/>
        </w:rPr>
        <w:t>Company Accounts</w:t>
      </w:r>
      <w:r w:rsidR="00016751">
        <w:rPr>
          <w:rFonts w:ascii="Century Gothic" w:hAnsi="Century Gothic"/>
        </w:rPr>
        <w:t xml:space="preserve"> </w:t>
      </w:r>
    </w:p>
    <w:p w14:paraId="3C5433C6" w14:textId="2FC78015" w:rsidR="00016751" w:rsidRDefault="00016751" w:rsidP="007F2823">
      <w:pPr>
        <w:pStyle w:val="NoSpacing"/>
        <w:jc w:val="both"/>
        <w:rPr>
          <w:rFonts w:ascii="Century Gothic" w:hAnsi="Century Gothic"/>
        </w:rPr>
      </w:pPr>
      <w:r>
        <w:rPr>
          <w:rFonts w:ascii="Century Gothic" w:hAnsi="Century Gothic"/>
        </w:rPr>
        <w:t xml:space="preserve">     Second edition 1978 by J.O. Magee</w:t>
      </w:r>
      <w:r w:rsidR="004B11F1">
        <w:rPr>
          <w:rStyle w:val="FootnoteReference"/>
          <w:rFonts w:ascii="Century Gothic" w:hAnsi="Century Gothic"/>
        </w:rPr>
        <w:footnoteReference w:id="34"/>
      </w:r>
      <w:r>
        <w:rPr>
          <w:rFonts w:ascii="Century Gothic" w:hAnsi="Century Gothic"/>
        </w:rPr>
        <w:t xml:space="preserve"> FCA; Depreciation at pages 212-213</w:t>
      </w:r>
    </w:p>
    <w:p w14:paraId="5CCC0152" w14:textId="195B97DC" w:rsidR="00016751" w:rsidRDefault="00016751" w:rsidP="007F2823">
      <w:pPr>
        <w:pStyle w:val="NoSpacing"/>
        <w:jc w:val="both"/>
        <w:rPr>
          <w:rFonts w:ascii="Century Gothic" w:hAnsi="Century Gothic"/>
        </w:rPr>
      </w:pPr>
    </w:p>
    <w:p w14:paraId="69DD8A11" w14:textId="1113C73E" w:rsidR="00016751" w:rsidRDefault="00016751" w:rsidP="007F2823">
      <w:pPr>
        <w:pStyle w:val="NoSpacing"/>
        <w:jc w:val="both"/>
        <w:rPr>
          <w:rFonts w:ascii="Century Gothic" w:hAnsi="Century Gothic"/>
        </w:rPr>
      </w:pPr>
      <w:r>
        <w:rPr>
          <w:rFonts w:ascii="Century Gothic" w:hAnsi="Century Gothic"/>
        </w:rPr>
        <w:t>“Depreciation. When a business owns fixed ass</w:t>
      </w:r>
      <w:r w:rsidR="00A60475">
        <w:rPr>
          <w:rFonts w:ascii="Century Gothic" w:hAnsi="Century Gothic"/>
        </w:rPr>
        <w:t>ets</w:t>
      </w:r>
      <w:r>
        <w:rPr>
          <w:rFonts w:ascii="Century Gothic" w:hAnsi="Century Gothic"/>
        </w:rPr>
        <w:t xml:space="preserve"> it is the normal practice to write these off over their lifetime by means of a depreciation charge which is debited in the Profit and Loss Account. The corresponding credit will be made in the asset account concerned (or in a Depreciation Provision Account).</w:t>
      </w:r>
    </w:p>
    <w:p w14:paraId="7C5E83C5" w14:textId="50F20A7C" w:rsidR="00016751" w:rsidRDefault="00016751" w:rsidP="007F2823">
      <w:pPr>
        <w:pStyle w:val="NoSpacing"/>
        <w:jc w:val="both"/>
        <w:rPr>
          <w:rFonts w:ascii="Century Gothic" w:hAnsi="Century Gothic"/>
        </w:rPr>
      </w:pPr>
    </w:p>
    <w:p w14:paraId="7D2DDCC6" w14:textId="68A014E2" w:rsidR="00016751" w:rsidRDefault="00016751" w:rsidP="007F2823">
      <w:pPr>
        <w:pStyle w:val="NoSpacing"/>
        <w:jc w:val="both"/>
        <w:rPr>
          <w:rFonts w:ascii="Century Gothic" w:hAnsi="Century Gothic"/>
        </w:rPr>
      </w:pPr>
      <w:r>
        <w:rPr>
          <w:rFonts w:ascii="Century Gothic" w:hAnsi="Century Gothic"/>
        </w:rPr>
        <w:t xml:space="preserve">The important point to be appreciated here is that a double entry of this kind does not involve any payment, i.e. there is no reduction in the amount </w:t>
      </w:r>
      <w:r w:rsidR="00A60475">
        <w:rPr>
          <w:rFonts w:ascii="Century Gothic" w:hAnsi="Century Gothic"/>
        </w:rPr>
        <w:t>of cash held by the business. It is simply a book-keeping entry. All that happens is that the book value of a fixed asset is arbitrarily reduced and profits are reduced by the same amount. It follows, therefore, that the working capital is not reduced because depreciation only affects fixed assets and not current assets.”</w:t>
      </w:r>
    </w:p>
    <w:p w14:paraId="080F592B" w14:textId="314FA640" w:rsidR="00E940ED" w:rsidRPr="007F7015" w:rsidRDefault="00A11435" w:rsidP="007F2823">
      <w:pPr>
        <w:pStyle w:val="NoSpacing"/>
        <w:jc w:val="both"/>
        <w:rPr>
          <w:rFonts w:ascii="Century Gothic" w:hAnsi="Century Gothic"/>
          <w:b/>
        </w:rPr>
      </w:pPr>
      <w:r>
        <w:rPr>
          <w:rFonts w:ascii="Century Gothic" w:hAnsi="Century Gothic"/>
          <w:b/>
        </w:rPr>
        <w:lastRenderedPageBreak/>
        <w:t>vi</w:t>
      </w:r>
      <w:r w:rsidR="007F7015" w:rsidRPr="007F7015">
        <w:rPr>
          <w:rFonts w:ascii="Century Gothic" w:hAnsi="Century Gothic"/>
          <w:b/>
        </w:rPr>
        <w:t xml:space="preserve">)  </w:t>
      </w:r>
      <w:r w:rsidR="007F7015" w:rsidRPr="007F7015">
        <w:rPr>
          <w:rFonts w:ascii="Century Gothic" w:hAnsi="Century Gothic"/>
          <w:b/>
          <w:u w:val="single"/>
        </w:rPr>
        <w:t>Mobis Parts Australia Pty Ltd v XL Insurance Company SE</w:t>
      </w:r>
      <w:r w:rsidR="00FC32CD">
        <w:rPr>
          <w:rStyle w:val="FootnoteReference"/>
          <w:rFonts w:ascii="Century Gothic" w:hAnsi="Century Gothic"/>
          <w:b/>
          <w:u w:val="single"/>
        </w:rPr>
        <w:footnoteReference w:id="35"/>
      </w:r>
      <w:r w:rsidR="007F7015" w:rsidRPr="007F7015">
        <w:rPr>
          <w:rFonts w:ascii="Century Gothic" w:hAnsi="Century Gothic"/>
          <w:b/>
          <w:u w:val="single"/>
        </w:rPr>
        <w:t xml:space="preserve"> </w:t>
      </w:r>
    </w:p>
    <w:p w14:paraId="127D33E2" w14:textId="683C0DDD" w:rsidR="007F7015" w:rsidRDefault="007F7015" w:rsidP="007F2823">
      <w:pPr>
        <w:pStyle w:val="NoSpacing"/>
        <w:jc w:val="both"/>
        <w:rPr>
          <w:rFonts w:ascii="Century Gothic" w:hAnsi="Century Gothic"/>
        </w:rPr>
      </w:pPr>
    </w:p>
    <w:p w14:paraId="262FFBD7" w14:textId="5941CDCD" w:rsidR="00FC32CD" w:rsidRDefault="007F7015" w:rsidP="007F2823">
      <w:pPr>
        <w:pStyle w:val="NoSpacing"/>
        <w:jc w:val="both"/>
        <w:rPr>
          <w:rFonts w:ascii="Century Gothic" w:hAnsi="Century Gothic"/>
        </w:rPr>
      </w:pPr>
      <w:r>
        <w:rPr>
          <w:rFonts w:ascii="Century Gothic" w:hAnsi="Century Gothic"/>
        </w:rPr>
        <w:t>The New South Wales (NSW) Court of Appeal held</w:t>
      </w:r>
      <w:r w:rsidR="00A11A52">
        <w:rPr>
          <w:rFonts w:ascii="Century Gothic" w:hAnsi="Century Gothic"/>
        </w:rPr>
        <w:t>,</w:t>
      </w:r>
      <w:r>
        <w:rPr>
          <w:rFonts w:ascii="Century Gothic" w:hAnsi="Century Gothic"/>
        </w:rPr>
        <w:t xml:space="preserve"> in a landmark judgment</w:t>
      </w:r>
      <w:r w:rsidR="00A11A52">
        <w:rPr>
          <w:rFonts w:ascii="Century Gothic" w:hAnsi="Century Gothic"/>
        </w:rPr>
        <w:t>,</w:t>
      </w:r>
      <w:r>
        <w:rPr>
          <w:rFonts w:ascii="Century Gothic" w:hAnsi="Century Gothic"/>
        </w:rPr>
        <w:t xml:space="preserve"> that </w:t>
      </w:r>
      <w:r w:rsidRPr="00FC32CD">
        <w:rPr>
          <w:rFonts w:ascii="Century Gothic" w:hAnsi="Century Gothic"/>
          <w:b/>
        </w:rPr>
        <w:t>depreciation is not a charge or expense</w:t>
      </w:r>
      <w:r>
        <w:rPr>
          <w:rFonts w:ascii="Century Gothic" w:hAnsi="Century Gothic"/>
        </w:rPr>
        <w:t xml:space="preserve"> “payable</w:t>
      </w:r>
      <w:r w:rsidR="00FC32CD">
        <w:rPr>
          <w:rFonts w:ascii="Century Gothic" w:hAnsi="Century Gothic"/>
        </w:rPr>
        <w:t>”</w:t>
      </w:r>
      <w:r>
        <w:rPr>
          <w:rFonts w:ascii="Century Gothic" w:hAnsi="Century Gothic"/>
        </w:rPr>
        <w:t xml:space="preserve"> out of Gross </w:t>
      </w:r>
      <w:r w:rsidR="00FC32CD">
        <w:rPr>
          <w:rFonts w:ascii="Century Gothic" w:hAnsi="Century Gothic"/>
        </w:rPr>
        <w:t>P</w:t>
      </w:r>
      <w:r>
        <w:rPr>
          <w:rFonts w:ascii="Century Gothic" w:hAnsi="Century Gothic"/>
        </w:rPr>
        <w:t>rofit</w:t>
      </w:r>
      <w:r w:rsidR="00A11A52">
        <w:rPr>
          <w:rFonts w:ascii="Century Gothic" w:hAnsi="Century Gothic"/>
        </w:rPr>
        <w:t>,</w:t>
      </w:r>
      <w:r w:rsidR="00FC32CD">
        <w:rPr>
          <w:rFonts w:ascii="Century Gothic" w:hAnsi="Century Gothic"/>
        </w:rPr>
        <w:t xml:space="preserve"> according to the formula of the Industrial Special Risks (ISR) policy</w:t>
      </w:r>
      <w:r w:rsidR="00A11A52">
        <w:rPr>
          <w:rFonts w:ascii="Century Gothic" w:hAnsi="Century Gothic"/>
        </w:rPr>
        <w:t xml:space="preserve">, </w:t>
      </w:r>
      <w:r w:rsidR="006F28D4">
        <w:rPr>
          <w:rFonts w:ascii="Century Gothic" w:hAnsi="Century Gothic"/>
        </w:rPr>
        <w:t xml:space="preserve">as such, </w:t>
      </w:r>
      <w:r w:rsidR="00A11A52" w:rsidRPr="00230731">
        <w:rPr>
          <w:rFonts w:ascii="Century Gothic" w:hAnsi="Century Gothic"/>
          <w:b/>
        </w:rPr>
        <w:t>not a saving,</w:t>
      </w:r>
      <w:r w:rsidR="00FC32CD">
        <w:rPr>
          <w:rFonts w:ascii="Century Gothic" w:hAnsi="Century Gothic"/>
        </w:rPr>
        <w:t xml:space="preserve"> </w:t>
      </w:r>
      <w:r w:rsidR="006F28D4">
        <w:rPr>
          <w:rFonts w:ascii="Century Gothic" w:hAnsi="Century Gothic"/>
        </w:rPr>
        <w:t xml:space="preserve">unanimously </w:t>
      </w:r>
      <w:r w:rsidR="00FC32CD">
        <w:rPr>
          <w:rFonts w:ascii="Century Gothic" w:hAnsi="Century Gothic"/>
        </w:rPr>
        <w:t>overturn</w:t>
      </w:r>
      <w:r w:rsidR="006F28D4">
        <w:rPr>
          <w:rFonts w:ascii="Century Gothic" w:hAnsi="Century Gothic"/>
        </w:rPr>
        <w:t>ed</w:t>
      </w:r>
      <w:r w:rsidR="00FC32CD">
        <w:rPr>
          <w:rFonts w:ascii="Century Gothic" w:hAnsi="Century Gothic"/>
        </w:rPr>
        <w:t xml:space="preserve"> the decision of the trial judge at first instance. (emphasis mine).</w:t>
      </w:r>
    </w:p>
    <w:p w14:paraId="52883558" w14:textId="77777777" w:rsidR="00FC32CD" w:rsidRDefault="00FC32CD" w:rsidP="007F2823">
      <w:pPr>
        <w:pStyle w:val="NoSpacing"/>
        <w:jc w:val="both"/>
        <w:rPr>
          <w:rFonts w:ascii="Century Gothic" w:hAnsi="Century Gothic"/>
        </w:rPr>
      </w:pPr>
    </w:p>
    <w:p w14:paraId="62ECB56E" w14:textId="4B876960" w:rsidR="007F7015" w:rsidRDefault="00A11A52" w:rsidP="007F2823">
      <w:pPr>
        <w:pStyle w:val="NoSpacing"/>
        <w:jc w:val="both"/>
        <w:rPr>
          <w:rFonts w:ascii="Century Gothic" w:hAnsi="Century Gothic"/>
        </w:rPr>
      </w:pPr>
      <w:r>
        <w:rPr>
          <w:rFonts w:ascii="Century Gothic" w:hAnsi="Century Gothic"/>
        </w:rPr>
        <w:t>The trial judge’s decision was premised on a UK High Court’s decision</w:t>
      </w:r>
      <w:r w:rsidR="00300727">
        <w:rPr>
          <w:rFonts w:ascii="Century Gothic" w:hAnsi="Century Gothic"/>
        </w:rPr>
        <w:t xml:space="preserve"> </w:t>
      </w:r>
      <w:r>
        <w:rPr>
          <w:rFonts w:ascii="Century Gothic" w:hAnsi="Century Gothic"/>
        </w:rPr>
        <w:t>in the Synergy</w:t>
      </w:r>
      <w:r w:rsidR="00300727">
        <w:rPr>
          <w:rStyle w:val="FootnoteReference"/>
          <w:rFonts w:ascii="Century Gothic" w:hAnsi="Century Gothic"/>
        </w:rPr>
        <w:footnoteReference w:id="36"/>
      </w:r>
      <w:r>
        <w:rPr>
          <w:rFonts w:ascii="Century Gothic" w:hAnsi="Century Gothic"/>
        </w:rPr>
        <w:t xml:space="preserve"> case </w:t>
      </w:r>
      <w:r w:rsidR="00300727">
        <w:rPr>
          <w:rFonts w:ascii="Century Gothic" w:hAnsi="Century Gothic"/>
        </w:rPr>
        <w:t>(which was misguided)</w:t>
      </w:r>
      <w:r w:rsidR="006F28D4">
        <w:rPr>
          <w:rFonts w:ascii="Century Gothic" w:hAnsi="Century Gothic"/>
        </w:rPr>
        <w:t xml:space="preserve"> holding</w:t>
      </w:r>
      <w:r>
        <w:rPr>
          <w:rFonts w:ascii="Century Gothic" w:hAnsi="Century Gothic"/>
        </w:rPr>
        <w:t xml:space="preserve"> depreciation</w:t>
      </w:r>
      <w:r w:rsidR="006F28D4">
        <w:rPr>
          <w:rFonts w:ascii="Century Gothic" w:hAnsi="Century Gothic"/>
        </w:rPr>
        <w:t>,</w:t>
      </w:r>
      <w:r>
        <w:rPr>
          <w:rFonts w:ascii="Century Gothic" w:hAnsi="Century Gothic"/>
        </w:rPr>
        <w:t xml:space="preserve"> being no longer an expense in the accounts</w:t>
      </w:r>
      <w:r w:rsidR="006F28D4">
        <w:rPr>
          <w:rFonts w:ascii="Century Gothic" w:hAnsi="Century Gothic"/>
        </w:rPr>
        <w:t>,</w:t>
      </w:r>
      <w:r>
        <w:rPr>
          <w:rFonts w:ascii="Century Gothic" w:hAnsi="Century Gothic"/>
        </w:rPr>
        <w:t xml:space="preserve"> was a saving, therefore, </w:t>
      </w:r>
      <w:r w:rsidR="00300727">
        <w:rPr>
          <w:rFonts w:ascii="Century Gothic" w:hAnsi="Century Gothic"/>
        </w:rPr>
        <w:t>to be deducted from the Gross Profit claim.</w:t>
      </w:r>
    </w:p>
    <w:p w14:paraId="14BA5E4F" w14:textId="4CC0AE4D" w:rsidR="00FC32CD" w:rsidRDefault="00FC32CD" w:rsidP="007F2823">
      <w:pPr>
        <w:pStyle w:val="NoSpacing"/>
        <w:jc w:val="both"/>
        <w:rPr>
          <w:rFonts w:ascii="Century Gothic" w:hAnsi="Century Gothic"/>
        </w:rPr>
      </w:pPr>
    </w:p>
    <w:p w14:paraId="115A20BC" w14:textId="5CB0A5F7" w:rsidR="00C7226C" w:rsidRDefault="00300727" w:rsidP="007F2823">
      <w:pPr>
        <w:pStyle w:val="NoSpacing"/>
        <w:jc w:val="both"/>
        <w:rPr>
          <w:rFonts w:ascii="Century Gothic" w:hAnsi="Century Gothic"/>
        </w:rPr>
      </w:pPr>
      <w:r>
        <w:rPr>
          <w:rFonts w:ascii="Century Gothic" w:hAnsi="Century Gothic"/>
        </w:rPr>
        <w:t xml:space="preserve">The NSW Court of Appeal </w:t>
      </w:r>
      <w:r w:rsidR="000F75D0">
        <w:rPr>
          <w:rFonts w:ascii="Century Gothic" w:hAnsi="Century Gothic"/>
        </w:rPr>
        <w:t xml:space="preserve">thoroughly </w:t>
      </w:r>
      <w:r w:rsidR="00400D63">
        <w:rPr>
          <w:rFonts w:ascii="Century Gothic" w:hAnsi="Century Gothic"/>
        </w:rPr>
        <w:t>explored the</w:t>
      </w:r>
      <w:r w:rsidR="000F75D0">
        <w:rPr>
          <w:rFonts w:ascii="Century Gothic" w:hAnsi="Century Gothic"/>
        </w:rPr>
        <w:t xml:space="preserve"> actual </w:t>
      </w:r>
      <w:r w:rsidR="00400D63">
        <w:rPr>
          <w:rFonts w:ascii="Century Gothic" w:hAnsi="Century Gothic"/>
        </w:rPr>
        <w:t>meaning and correct interpretation</w:t>
      </w:r>
      <w:r w:rsidR="000F75D0">
        <w:rPr>
          <w:rFonts w:ascii="Century Gothic" w:hAnsi="Century Gothic"/>
        </w:rPr>
        <w:t xml:space="preserve"> of depreciation on profit, </w:t>
      </w:r>
      <w:r w:rsidR="00C7226C">
        <w:rPr>
          <w:rFonts w:ascii="Century Gothic" w:hAnsi="Century Gothic"/>
        </w:rPr>
        <w:t>defined</w:t>
      </w:r>
      <w:r w:rsidR="000F75D0">
        <w:rPr>
          <w:rFonts w:ascii="Century Gothic" w:hAnsi="Century Gothic"/>
        </w:rPr>
        <w:t xml:space="preserve"> depreciation </w:t>
      </w:r>
      <w:r w:rsidR="00C7226C">
        <w:rPr>
          <w:rFonts w:ascii="Century Gothic" w:hAnsi="Century Gothic"/>
        </w:rPr>
        <w:t>as</w:t>
      </w:r>
    </w:p>
    <w:p w14:paraId="141EB97E" w14:textId="77777777" w:rsidR="00C7226C" w:rsidRDefault="00C7226C" w:rsidP="007F2823">
      <w:pPr>
        <w:pStyle w:val="NoSpacing"/>
        <w:jc w:val="both"/>
        <w:rPr>
          <w:rFonts w:ascii="Century Gothic" w:hAnsi="Century Gothic"/>
        </w:rPr>
      </w:pPr>
    </w:p>
    <w:p w14:paraId="4BFCA05E" w14:textId="77777777" w:rsidR="00C7226C" w:rsidRDefault="00C7226C" w:rsidP="007F2823">
      <w:pPr>
        <w:pStyle w:val="NoSpacing"/>
        <w:jc w:val="both"/>
        <w:rPr>
          <w:rFonts w:ascii="Century Gothic" w:hAnsi="Century Gothic"/>
        </w:rPr>
      </w:pPr>
      <w:r>
        <w:rPr>
          <w:rFonts w:ascii="Century Gothic" w:hAnsi="Century Gothic"/>
        </w:rPr>
        <w:t xml:space="preserve">         “</w:t>
      </w:r>
      <w:r w:rsidR="000F75D0">
        <w:rPr>
          <w:rFonts w:ascii="Century Gothic" w:hAnsi="Century Gothic"/>
        </w:rPr>
        <w:t>the systemic allocation of a</w:t>
      </w:r>
      <w:r>
        <w:rPr>
          <w:rFonts w:ascii="Century Gothic" w:hAnsi="Century Gothic"/>
        </w:rPr>
        <w:t xml:space="preserve"> tangible </w:t>
      </w:r>
      <w:r w:rsidR="000F75D0">
        <w:rPr>
          <w:rFonts w:ascii="Century Gothic" w:hAnsi="Century Gothic"/>
        </w:rPr>
        <w:t xml:space="preserve">asset’s cost </w:t>
      </w:r>
      <w:r>
        <w:rPr>
          <w:rFonts w:ascii="Century Gothic" w:hAnsi="Century Gothic"/>
        </w:rPr>
        <w:t>(less its anticipated scrap</w:t>
      </w:r>
    </w:p>
    <w:p w14:paraId="5145E85B" w14:textId="12B341B1" w:rsidR="00C7226C" w:rsidRDefault="00C7226C" w:rsidP="007F2823">
      <w:pPr>
        <w:pStyle w:val="NoSpacing"/>
        <w:jc w:val="both"/>
        <w:rPr>
          <w:rFonts w:ascii="Century Gothic" w:hAnsi="Century Gothic"/>
        </w:rPr>
      </w:pPr>
      <w:r>
        <w:rPr>
          <w:rFonts w:ascii="Century Gothic" w:hAnsi="Century Gothic"/>
        </w:rPr>
        <w:t xml:space="preserve">           value) </w:t>
      </w:r>
      <w:r w:rsidR="000F75D0">
        <w:rPr>
          <w:rFonts w:ascii="Century Gothic" w:hAnsi="Century Gothic"/>
        </w:rPr>
        <w:t xml:space="preserve">as a series of expenses over its </w:t>
      </w:r>
      <w:r>
        <w:rPr>
          <w:rFonts w:ascii="Century Gothic" w:hAnsi="Century Gothic"/>
        </w:rPr>
        <w:t xml:space="preserve">expected </w:t>
      </w:r>
      <w:r w:rsidR="000F75D0">
        <w:rPr>
          <w:rFonts w:ascii="Century Gothic" w:hAnsi="Century Gothic"/>
        </w:rPr>
        <w:t xml:space="preserve">useful </w:t>
      </w:r>
      <w:r w:rsidR="00F67A28">
        <w:rPr>
          <w:rFonts w:ascii="Century Gothic" w:hAnsi="Century Gothic"/>
        </w:rPr>
        <w:t>l</w:t>
      </w:r>
      <w:r w:rsidR="000F75D0">
        <w:rPr>
          <w:rFonts w:ascii="Century Gothic" w:hAnsi="Century Gothic"/>
        </w:rPr>
        <w:t>ife</w:t>
      </w:r>
      <w:r>
        <w:rPr>
          <w:rFonts w:ascii="Century Gothic" w:hAnsi="Century Gothic"/>
        </w:rPr>
        <w:t>…</w:t>
      </w:r>
      <w:r w:rsidR="00320620">
        <w:rPr>
          <w:rFonts w:ascii="Century Gothic" w:hAnsi="Century Gothic"/>
        </w:rPr>
        <w:t>E</w:t>
      </w:r>
      <w:r>
        <w:rPr>
          <w:rFonts w:ascii="Century Gothic" w:hAnsi="Century Gothic"/>
        </w:rPr>
        <w:t>ach depreciation</w:t>
      </w:r>
    </w:p>
    <w:p w14:paraId="781CAA63" w14:textId="7EC18A3A" w:rsidR="00C7226C" w:rsidRDefault="00C7226C" w:rsidP="007F2823">
      <w:pPr>
        <w:pStyle w:val="NoSpacing"/>
        <w:jc w:val="both"/>
        <w:rPr>
          <w:rFonts w:ascii="Century Gothic" w:hAnsi="Century Gothic"/>
        </w:rPr>
      </w:pPr>
      <w:r>
        <w:rPr>
          <w:rFonts w:ascii="Century Gothic" w:hAnsi="Century Gothic"/>
        </w:rPr>
        <w:t xml:space="preserve">           expense</w:t>
      </w:r>
      <w:r w:rsidR="00F67A28">
        <w:rPr>
          <w:rFonts w:ascii="Century Gothic" w:hAnsi="Century Gothic"/>
        </w:rPr>
        <w:t xml:space="preserve"> </w:t>
      </w:r>
      <w:r>
        <w:rPr>
          <w:rFonts w:ascii="Century Gothic" w:hAnsi="Century Gothic"/>
        </w:rPr>
        <w:t>appears in the income statement as an expense deducted from gross</w:t>
      </w:r>
    </w:p>
    <w:p w14:paraId="091BB5EC" w14:textId="3F6EB883" w:rsidR="00C7226C" w:rsidRDefault="00C7226C" w:rsidP="007F2823">
      <w:pPr>
        <w:pStyle w:val="NoSpacing"/>
        <w:jc w:val="both"/>
        <w:rPr>
          <w:rFonts w:ascii="Century Gothic" w:hAnsi="Century Gothic"/>
        </w:rPr>
      </w:pPr>
      <w:r>
        <w:rPr>
          <w:rFonts w:ascii="Century Gothic" w:hAnsi="Century Gothic"/>
        </w:rPr>
        <w:t xml:space="preserve">           profit for the purpose of calculati</w:t>
      </w:r>
      <w:r w:rsidR="00320620">
        <w:rPr>
          <w:rFonts w:ascii="Century Gothic" w:hAnsi="Century Gothic"/>
        </w:rPr>
        <w:t>ng</w:t>
      </w:r>
      <w:r>
        <w:rPr>
          <w:rFonts w:ascii="Century Gothic" w:hAnsi="Century Gothic"/>
        </w:rPr>
        <w:t xml:space="preserve"> net profit</w:t>
      </w:r>
      <w:r w:rsidR="00232075">
        <w:rPr>
          <w:rFonts w:ascii="Century Gothic" w:hAnsi="Century Gothic"/>
        </w:rPr>
        <w:t xml:space="preserve"> </w:t>
      </w:r>
      <w:r>
        <w:rPr>
          <w:rFonts w:ascii="Century Gothic" w:hAnsi="Century Gothic"/>
        </w:rPr>
        <w:t>but the process of depreciation</w:t>
      </w:r>
    </w:p>
    <w:p w14:paraId="16EBA341" w14:textId="437963EC" w:rsidR="00FC32CD" w:rsidRDefault="00C7226C" w:rsidP="007F2823">
      <w:pPr>
        <w:pStyle w:val="NoSpacing"/>
        <w:jc w:val="both"/>
        <w:rPr>
          <w:rFonts w:ascii="Century Gothic" w:hAnsi="Century Gothic"/>
        </w:rPr>
      </w:pPr>
      <w:r>
        <w:rPr>
          <w:rFonts w:ascii="Century Gothic" w:hAnsi="Century Gothic"/>
        </w:rPr>
        <w:t xml:space="preserve">           has no direct impact on cash flows.” </w:t>
      </w:r>
    </w:p>
    <w:p w14:paraId="3F68C125" w14:textId="30C67565" w:rsidR="00400D63" w:rsidRDefault="00400D63" w:rsidP="007F2823">
      <w:pPr>
        <w:pStyle w:val="NoSpacing"/>
        <w:jc w:val="both"/>
        <w:rPr>
          <w:rFonts w:ascii="Century Gothic" w:hAnsi="Century Gothic"/>
        </w:rPr>
      </w:pPr>
    </w:p>
    <w:p w14:paraId="48926C12" w14:textId="21B34F42" w:rsidR="00400D63" w:rsidRDefault="00400D63" w:rsidP="007F2823">
      <w:pPr>
        <w:pStyle w:val="NoSpacing"/>
        <w:jc w:val="both"/>
        <w:rPr>
          <w:rFonts w:ascii="Century Gothic" w:hAnsi="Century Gothic"/>
        </w:rPr>
      </w:pPr>
      <w:r>
        <w:rPr>
          <w:rFonts w:ascii="Century Gothic" w:hAnsi="Century Gothic"/>
        </w:rPr>
        <w:t>It can be seen that the learned Lordships had taken a leaf out of IAS 16</w:t>
      </w:r>
      <w:r w:rsidR="004A78F9">
        <w:rPr>
          <w:rStyle w:val="FootnoteReference"/>
          <w:rFonts w:ascii="Century Gothic" w:hAnsi="Century Gothic"/>
        </w:rPr>
        <w:footnoteReference w:id="37"/>
      </w:r>
      <w:r>
        <w:rPr>
          <w:rFonts w:ascii="Century Gothic" w:hAnsi="Century Gothic"/>
        </w:rPr>
        <w:t xml:space="preserve"> and the Company Accounts</w:t>
      </w:r>
      <w:r w:rsidR="004A78F9">
        <w:rPr>
          <w:rStyle w:val="FootnoteReference"/>
          <w:rFonts w:ascii="Century Gothic" w:hAnsi="Century Gothic"/>
        </w:rPr>
        <w:footnoteReference w:id="38"/>
      </w:r>
      <w:r>
        <w:rPr>
          <w:rFonts w:ascii="Century Gothic" w:hAnsi="Century Gothic"/>
        </w:rPr>
        <w:t xml:space="preserve"> </w:t>
      </w:r>
      <w:r w:rsidR="00394E46">
        <w:rPr>
          <w:rFonts w:ascii="Century Gothic" w:hAnsi="Century Gothic"/>
        </w:rPr>
        <w:t>in reaching their decision</w:t>
      </w:r>
      <w:r w:rsidR="00531DF1">
        <w:rPr>
          <w:rFonts w:ascii="Century Gothic" w:hAnsi="Century Gothic"/>
        </w:rPr>
        <w:t xml:space="preserve"> as </w:t>
      </w:r>
      <w:r w:rsidR="009A3730">
        <w:rPr>
          <w:rFonts w:ascii="Century Gothic" w:hAnsi="Century Gothic"/>
        </w:rPr>
        <w:t xml:space="preserve">a </w:t>
      </w:r>
      <w:r w:rsidR="00531DF1">
        <w:rPr>
          <w:rFonts w:ascii="Century Gothic" w:hAnsi="Century Gothic"/>
        </w:rPr>
        <w:t>leading authority</w:t>
      </w:r>
      <w:r w:rsidR="009A3730">
        <w:rPr>
          <w:rStyle w:val="FootnoteReference"/>
          <w:rFonts w:ascii="Century Gothic" w:hAnsi="Century Gothic"/>
        </w:rPr>
        <w:footnoteReference w:id="39"/>
      </w:r>
      <w:r w:rsidR="00531DF1">
        <w:rPr>
          <w:rFonts w:ascii="Century Gothic" w:hAnsi="Century Gothic"/>
        </w:rPr>
        <w:t xml:space="preserve"> on depreciation in business interruption insurance practice.</w:t>
      </w:r>
    </w:p>
    <w:p w14:paraId="76F453D1" w14:textId="20BE1722" w:rsidR="00320620" w:rsidRDefault="00320620" w:rsidP="007F2823">
      <w:pPr>
        <w:pStyle w:val="NoSpacing"/>
        <w:jc w:val="both"/>
        <w:rPr>
          <w:rFonts w:ascii="Century Gothic" w:hAnsi="Century Gothic"/>
        </w:rPr>
      </w:pPr>
    </w:p>
    <w:p w14:paraId="378A35BD" w14:textId="527DB0B7" w:rsidR="00320620" w:rsidRDefault="00320620" w:rsidP="007F2823">
      <w:pPr>
        <w:pStyle w:val="NoSpacing"/>
        <w:jc w:val="both"/>
        <w:rPr>
          <w:rFonts w:ascii="Century Gothic" w:hAnsi="Century Gothic"/>
        </w:rPr>
      </w:pPr>
      <w:r>
        <w:rPr>
          <w:rFonts w:ascii="Century Gothic" w:hAnsi="Century Gothic"/>
        </w:rPr>
        <w:t>The NSW Court of Appeal decided that the word “payable” in the policy wording “payable out of Gross Profit” contrary to the word “deducted” suggested the exclusion of charges and expenses that are not liable to be paid away, such as depreciation.</w:t>
      </w:r>
    </w:p>
    <w:p w14:paraId="258CDDF0" w14:textId="7AF115BB" w:rsidR="00394E46" w:rsidRDefault="00394E46" w:rsidP="007F2823">
      <w:pPr>
        <w:pStyle w:val="NoSpacing"/>
        <w:jc w:val="both"/>
        <w:rPr>
          <w:rFonts w:ascii="Century Gothic" w:hAnsi="Century Gothic"/>
        </w:rPr>
      </w:pPr>
    </w:p>
    <w:p w14:paraId="0DDB9874" w14:textId="149FE1D3" w:rsidR="00394E46" w:rsidRDefault="00394E46" w:rsidP="007F2823">
      <w:pPr>
        <w:pStyle w:val="NoSpacing"/>
        <w:jc w:val="both"/>
        <w:rPr>
          <w:rFonts w:ascii="Century Gothic" w:hAnsi="Century Gothic"/>
        </w:rPr>
      </w:pPr>
      <w:r>
        <w:rPr>
          <w:rFonts w:ascii="Century Gothic" w:hAnsi="Century Gothic"/>
        </w:rPr>
        <w:t>In the process, the Appeal Court specifically drew attention to the language used in method of determining the loss as coloured by its immediate and commercial context.</w:t>
      </w:r>
      <w:r>
        <w:rPr>
          <w:rStyle w:val="FootnoteReference"/>
          <w:rFonts w:ascii="Century Gothic" w:hAnsi="Century Gothic"/>
        </w:rPr>
        <w:footnoteReference w:id="40"/>
      </w:r>
    </w:p>
    <w:p w14:paraId="3654A3A1" w14:textId="68161C7F" w:rsidR="00F67A28" w:rsidRDefault="00F67A28" w:rsidP="007F2823">
      <w:pPr>
        <w:pStyle w:val="NoSpacing"/>
        <w:jc w:val="both"/>
        <w:rPr>
          <w:rFonts w:ascii="Century Gothic" w:hAnsi="Century Gothic"/>
        </w:rPr>
      </w:pPr>
    </w:p>
    <w:p w14:paraId="33501924" w14:textId="436310F6" w:rsidR="00F67A28" w:rsidRDefault="00394E46" w:rsidP="007F2823">
      <w:pPr>
        <w:pStyle w:val="NoSpacing"/>
        <w:jc w:val="both"/>
        <w:rPr>
          <w:rFonts w:ascii="Century Gothic" w:hAnsi="Century Gothic"/>
        </w:rPr>
      </w:pPr>
      <w:r>
        <w:rPr>
          <w:rFonts w:ascii="Century Gothic" w:hAnsi="Century Gothic"/>
        </w:rPr>
        <w:t xml:space="preserve">It is interesting to note that </w:t>
      </w:r>
      <w:r w:rsidR="00E50832">
        <w:rPr>
          <w:rFonts w:ascii="Century Gothic" w:hAnsi="Century Gothic"/>
        </w:rPr>
        <w:t xml:space="preserve">contrary to the norm on the principle of indemnity, </w:t>
      </w:r>
      <w:r>
        <w:rPr>
          <w:rFonts w:ascii="Century Gothic" w:hAnsi="Century Gothic"/>
        </w:rPr>
        <w:t xml:space="preserve">the NSW Court of Appeal </w:t>
      </w:r>
      <w:r w:rsidR="00E50832">
        <w:rPr>
          <w:rFonts w:ascii="Century Gothic" w:hAnsi="Century Gothic"/>
        </w:rPr>
        <w:t>held that the indemnity in the ISR policy is not against “actual loss”, rather it contains a formula and there was nothing in the context of the clause which required any departure from the language used.</w:t>
      </w:r>
    </w:p>
    <w:p w14:paraId="4C2277A6" w14:textId="77777777" w:rsidR="007F7015" w:rsidRDefault="007F7015" w:rsidP="007F2823">
      <w:pPr>
        <w:pStyle w:val="NoSpacing"/>
        <w:jc w:val="both"/>
        <w:rPr>
          <w:rFonts w:ascii="Century Gothic" w:hAnsi="Century Gothic"/>
        </w:rPr>
      </w:pPr>
    </w:p>
    <w:p w14:paraId="34320345" w14:textId="51EB48E3" w:rsidR="0014628B" w:rsidRDefault="003E768A" w:rsidP="007F2823">
      <w:pPr>
        <w:pStyle w:val="NoSpacing"/>
        <w:jc w:val="both"/>
        <w:rPr>
          <w:rFonts w:ascii="Century Gothic" w:hAnsi="Century Gothic"/>
          <w:u w:val="single"/>
        </w:rPr>
      </w:pPr>
      <w:r>
        <w:rPr>
          <w:rFonts w:ascii="Century Gothic" w:hAnsi="Century Gothic"/>
          <w:b/>
        </w:rPr>
        <w:t xml:space="preserve">vii)  </w:t>
      </w:r>
      <w:r w:rsidRPr="003E768A">
        <w:rPr>
          <w:rFonts w:ascii="Century Gothic" w:hAnsi="Century Gothic"/>
          <w:b/>
          <w:u w:val="single"/>
        </w:rPr>
        <w:t>Business Interruption Policy Wording</w:t>
      </w:r>
      <w:r w:rsidR="00230731">
        <w:rPr>
          <w:rFonts w:ascii="Century Gothic" w:hAnsi="Century Gothic"/>
          <w:b/>
          <w:u w:val="single"/>
        </w:rPr>
        <w:t>s</w:t>
      </w:r>
      <w:r w:rsidRPr="003E768A">
        <w:rPr>
          <w:rFonts w:ascii="Century Gothic" w:hAnsi="Century Gothic"/>
          <w:b/>
          <w:u w:val="single"/>
        </w:rPr>
        <w:t xml:space="preserve"> </w:t>
      </w:r>
      <w:r w:rsidRPr="0014628B">
        <w:rPr>
          <w:rFonts w:ascii="Century Gothic" w:hAnsi="Century Gothic"/>
          <w:b/>
          <w:u w:val="single"/>
        </w:rPr>
        <w:t>(</w:t>
      </w:r>
      <w:r w:rsidR="0014628B" w:rsidRPr="0014628B">
        <w:rPr>
          <w:rFonts w:ascii="Century Gothic" w:hAnsi="Century Gothic"/>
          <w:b/>
          <w:u w:val="single"/>
        </w:rPr>
        <w:t>R</w:t>
      </w:r>
      <w:r w:rsidRPr="0014628B">
        <w:rPr>
          <w:rFonts w:ascii="Century Gothic" w:hAnsi="Century Gothic"/>
          <w:b/>
          <w:u w:val="single"/>
        </w:rPr>
        <w:t>esea</w:t>
      </w:r>
      <w:r w:rsidR="0014628B" w:rsidRPr="0014628B">
        <w:rPr>
          <w:rFonts w:ascii="Century Gothic" w:hAnsi="Century Gothic"/>
          <w:b/>
          <w:u w:val="single"/>
        </w:rPr>
        <w:t>rch</w:t>
      </w:r>
      <w:r w:rsidRPr="0014628B">
        <w:rPr>
          <w:rFonts w:ascii="Century Gothic" w:hAnsi="Century Gothic"/>
          <w:b/>
          <w:u w:val="single"/>
        </w:rPr>
        <w:t xml:space="preserve"> Study Group 265’s </w:t>
      </w:r>
      <w:r w:rsidR="0014628B" w:rsidRPr="0014628B">
        <w:rPr>
          <w:rFonts w:ascii="Century Gothic" w:hAnsi="Century Gothic"/>
          <w:b/>
          <w:u w:val="single"/>
        </w:rPr>
        <w:t>Report</w:t>
      </w:r>
      <w:r w:rsidR="0014628B" w:rsidRPr="0014628B">
        <w:rPr>
          <w:rFonts w:ascii="Century Gothic" w:hAnsi="Century Gothic"/>
          <w:u w:val="single"/>
        </w:rPr>
        <w:t xml:space="preserve"> </w:t>
      </w:r>
    </w:p>
    <w:p w14:paraId="23F27F9A" w14:textId="4B4777AC" w:rsidR="00A11435" w:rsidRPr="003E768A" w:rsidRDefault="0014628B" w:rsidP="007F2823">
      <w:pPr>
        <w:pStyle w:val="NoSpacing"/>
        <w:jc w:val="both"/>
        <w:rPr>
          <w:rFonts w:ascii="Century Gothic" w:hAnsi="Century Gothic"/>
        </w:rPr>
      </w:pPr>
      <w:r>
        <w:rPr>
          <w:rFonts w:ascii="Century Gothic" w:hAnsi="Century Gothic"/>
        </w:rPr>
        <w:t xml:space="preserve">       (</w:t>
      </w:r>
      <w:r w:rsidR="003E768A" w:rsidRPr="003E768A">
        <w:rPr>
          <w:rFonts w:ascii="Century Gothic" w:hAnsi="Century Gothic"/>
        </w:rPr>
        <w:t>2024 edition)</w:t>
      </w:r>
    </w:p>
    <w:p w14:paraId="1AF91983" w14:textId="2A22F76D" w:rsidR="003E768A" w:rsidRDefault="003E768A" w:rsidP="007F2823">
      <w:pPr>
        <w:pStyle w:val="NoSpacing"/>
        <w:jc w:val="both"/>
        <w:rPr>
          <w:rFonts w:ascii="Century Gothic" w:hAnsi="Century Gothic"/>
          <w:b/>
        </w:rPr>
      </w:pPr>
    </w:p>
    <w:p w14:paraId="1A7AD05D" w14:textId="17886D8E" w:rsidR="0014628B" w:rsidRDefault="0014628B" w:rsidP="00614C6C">
      <w:pPr>
        <w:pStyle w:val="NoSpacing"/>
        <w:jc w:val="both"/>
        <w:rPr>
          <w:rFonts w:ascii="Century Gothic" w:hAnsi="Century Gothic"/>
        </w:rPr>
      </w:pPr>
      <w:r>
        <w:rPr>
          <w:rFonts w:ascii="Century Gothic" w:hAnsi="Century Gothic"/>
        </w:rPr>
        <w:t xml:space="preserve">The RSG’s report on </w:t>
      </w:r>
      <w:r w:rsidR="00614C6C">
        <w:rPr>
          <w:rFonts w:ascii="Century Gothic" w:hAnsi="Century Gothic"/>
        </w:rPr>
        <w:t xml:space="preserve">definition of </w:t>
      </w:r>
      <w:r>
        <w:rPr>
          <w:rFonts w:ascii="Century Gothic" w:hAnsi="Century Gothic"/>
        </w:rPr>
        <w:t>Depreciation</w:t>
      </w:r>
      <w:r w:rsidR="00614C6C">
        <w:rPr>
          <w:rStyle w:val="FootnoteReference"/>
          <w:rFonts w:ascii="Century Gothic" w:hAnsi="Century Gothic"/>
        </w:rPr>
        <w:footnoteReference w:id="41"/>
      </w:r>
      <w:r w:rsidR="00614C6C">
        <w:rPr>
          <w:rFonts w:ascii="Century Gothic" w:hAnsi="Century Gothic"/>
        </w:rPr>
        <w:t xml:space="preserve"> </w:t>
      </w:r>
      <w:r>
        <w:rPr>
          <w:rFonts w:ascii="Century Gothic" w:hAnsi="Century Gothic"/>
        </w:rPr>
        <w:t>succinctly stated:</w:t>
      </w:r>
    </w:p>
    <w:p w14:paraId="2D2D2EBE" w14:textId="3966FC93" w:rsidR="0014628B" w:rsidRDefault="0014628B" w:rsidP="00614C6C">
      <w:pPr>
        <w:pStyle w:val="NoSpacing"/>
        <w:jc w:val="both"/>
        <w:rPr>
          <w:rFonts w:ascii="Century Gothic" w:hAnsi="Century Gothic"/>
        </w:rPr>
      </w:pPr>
    </w:p>
    <w:p w14:paraId="2156D529" w14:textId="33853F1F" w:rsidR="0014628B" w:rsidRDefault="0014628B" w:rsidP="00614C6C">
      <w:pPr>
        <w:pStyle w:val="NoSpacing"/>
        <w:jc w:val="both"/>
        <w:rPr>
          <w:rFonts w:ascii="Century Gothic" w:hAnsi="Century Gothic"/>
        </w:rPr>
      </w:pPr>
      <w:r>
        <w:rPr>
          <w:rFonts w:ascii="Century Gothic" w:hAnsi="Century Gothic"/>
        </w:rPr>
        <w:lastRenderedPageBreak/>
        <w:t xml:space="preserve">        “The policy usually allows the insured to select the costs (variously described</w:t>
      </w:r>
    </w:p>
    <w:p w14:paraId="6D223A15" w14:textId="77777777" w:rsidR="00614C6C" w:rsidRDefault="0014628B" w:rsidP="00614C6C">
      <w:pPr>
        <w:pStyle w:val="NoSpacing"/>
        <w:jc w:val="both"/>
        <w:rPr>
          <w:rFonts w:ascii="Century Gothic" w:hAnsi="Century Gothic"/>
        </w:rPr>
      </w:pPr>
      <w:r>
        <w:rPr>
          <w:rFonts w:ascii="Century Gothic" w:hAnsi="Century Gothic"/>
        </w:rPr>
        <w:t xml:space="preserve">          as Specified Working Expenses, Variable Costs, or Uninsured Working expenses)</w:t>
      </w:r>
    </w:p>
    <w:p w14:paraId="00173BDE" w14:textId="77777777" w:rsidR="00614C6C" w:rsidRDefault="00614C6C" w:rsidP="00614C6C">
      <w:pPr>
        <w:pStyle w:val="NoSpacing"/>
        <w:jc w:val="both"/>
        <w:rPr>
          <w:rFonts w:ascii="Century Gothic" w:hAnsi="Century Gothic"/>
        </w:rPr>
      </w:pPr>
      <w:r>
        <w:rPr>
          <w:rFonts w:ascii="Century Gothic" w:hAnsi="Century Gothic"/>
        </w:rPr>
        <w:t xml:space="preserve">         </w:t>
      </w:r>
      <w:r w:rsidR="0014628B">
        <w:rPr>
          <w:rFonts w:ascii="Century Gothic" w:hAnsi="Century Gothic"/>
        </w:rPr>
        <w:t xml:space="preserve"> to be deducted </w:t>
      </w:r>
      <w:r>
        <w:rPr>
          <w:rFonts w:ascii="Century Gothic" w:hAnsi="Century Gothic"/>
        </w:rPr>
        <w:t>from turnover (or Revenue, Takings, or Sales) in defining Gross</w:t>
      </w:r>
    </w:p>
    <w:p w14:paraId="1F550D17" w14:textId="2049E8B4" w:rsidR="00614C6C" w:rsidRPr="001B42C1" w:rsidRDefault="00614C6C" w:rsidP="00614C6C">
      <w:pPr>
        <w:pStyle w:val="NoSpacing"/>
        <w:jc w:val="both"/>
        <w:rPr>
          <w:rFonts w:ascii="Century Gothic" w:hAnsi="Century Gothic"/>
        </w:rPr>
      </w:pPr>
      <w:r>
        <w:rPr>
          <w:rFonts w:ascii="Century Gothic" w:hAnsi="Century Gothic"/>
        </w:rPr>
        <w:t xml:space="preserve">          Profit. This is intended as a benefit rather </w:t>
      </w:r>
      <w:r w:rsidRPr="001B42C1">
        <w:rPr>
          <w:rFonts w:ascii="Century Gothic" w:hAnsi="Century Gothic"/>
        </w:rPr>
        <w:t>than a complication, because it means</w:t>
      </w:r>
    </w:p>
    <w:p w14:paraId="63D8B9BC" w14:textId="4E710FEA" w:rsidR="00614C6C" w:rsidRDefault="00614C6C" w:rsidP="00614C6C">
      <w:pPr>
        <w:pStyle w:val="NoSpacing"/>
        <w:jc w:val="both"/>
        <w:rPr>
          <w:rFonts w:ascii="Century Gothic" w:hAnsi="Century Gothic"/>
        </w:rPr>
      </w:pPr>
      <w:r w:rsidRPr="001B42C1">
        <w:rPr>
          <w:rFonts w:ascii="Century Gothic" w:hAnsi="Century Gothic"/>
        </w:rPr>
        <w:t xml:space="preserve">          that the</w:t>
      </w:r>
      <w:r w:rsidRPr="001B42C1">
        <w:rPr>
          <w:rFonts w:ascii="Century Gothic" w:hAnsi="Century Gothic"/>
          <w:b/>
        </w:rPr>
        <w:t xml:space="preserve"> purchaser </w:t>
      </w:r>
      <w:r w:rsidRPr="001B42C1">
        <w:rPr>
          <w:rFonts w:ascii="Century Gothic" w:hAnsi="Century Gothic"/>
        </w:rPr>
        <w:t>of the insurance (who</w:t>
      </w:r>
      <w:r w:rsidRPr="001B42C1">
        <w:rPr>
          <w:rFonts w:ascii="Century Gothic" w:hAnsi="Century Gothic"/>
          <w:b/>
        </w:rPr>
        <w:t xml:space="preserve"> has the best understanding</w:t>
      </w:r>
      <w:r>
        <w:rPr>
          <w:rFonts w:ascii="Century Gothic" w:hAnsi="Century Gothic"/>
        </w:rPr>
        <w:t xml:space="preserve"> </w:t>
      </w:r>
      <w:r w:rsidRPr="001B42C1">
        <w:rPr>
          <w:rFonts w:ascii="Century Gothic" w:hAnsi="Century Gothic"/>
          <w:b/>
        </w:rPr>
        <w:t>of their</w:t>
      </w:r>
    </w:p>
    <w:p w14:paraId="37B2C8F0" w14:textId="77777777" w:rsidR="00614C6C" w:rsidRDefault="00614C6C" w:rsidP="00614C6C">
      <w:pPr>
        <w:pStyle w:val="NoSpacing"/>
        <w:jc w:val="both"/>
        <w:rPr>
          <w:rFonts w:ascii="Century Gothic" w:hAnsi="Century Gothic"/>
        </w:rPr>
      </w:pPr>
      <w:r>
        <w:rPr>
          <w:rFonts w:ascii="Century Gothic" w:hAnsi="Century Gothic"/>
        </w:rPr>
        <w:t xml:space="preserve">          </w:t>
      </w:r>
      <w:r w:rsidRPr="001B42C1">
        <w:rPr>
          <w:rFonts w:ascii="Century Gothic" w:hAnsi="Century Gothic"/>
          <w:b/>
        </w:rPr>
        <w:t>own business</w:t>
      </w:r>
      <w:r>
        <w:rPr>
          <w:rFonts w:ascii="Century Gothic" w:hAnsi="Century Gothic"/>
        </w:rPr>
        <w:t xml:space="preserve">) </w:t>
      </w:r>
      <w:r w:rsidRPr="001B42C1">
        <w:rPr>
          <w:rFonts w:ascii="Century Gothic" w:hAnsi="Century Gothic"/>
          <w:b/>
        </w:rPr>
        <w:t>can decide</w:t>
      </w:r>
      <w:r>
        <w:rPr>
          <w:rFonts w:ascii="Century Gothic" w:hAnsi="Century Gothic"/>
        </w:rPr>
        <w:t xml:space="preserve"> on what will make </w:t>
      </w:r>
      <w:r w:rsidRPr="001B42C1">
        <w:rPr>
          <w:rFonts w:ascii="Century Gothic" w:hAnsi="Century Gothic"/>
          <w:b/>
        </w:rPr>
        <w:t>the cover most meaningful</w:t>
      </w:r>
      <w:r>
        <w:rPr>
          <w:rFonts w:ascii="Century Gothic" w:hAnsi="Century Gothic"/>
        </w:rPr>
        <w:t xml:space="preserve"> to</w:t>
      </w:r>
    </w:p>
    <w:p w14:paraId="3EF46D2B" w14:textId="3CCD179C" w:rsidR="0014628B" w:rsidRDefault="00614C6C" w:rsidP="00614C6C">
      <w:pPr>
        <w:pStyle w:val="NoSpacing"/>
        <w:jc w:val="both"/>
        <w:rPr>
          <w:rFonts w:ascii="Century Gothic" w:hAnsi="Century Gothic"/>
        </w:rPr>
      </w:pPr>
      <w:r>
        <w:rPr>
          <w:rFonts w:ascii="Century Gothic" w:hAnsi="Century Gothic"/>
        </w:rPr>
        <w:t xml:space="preserve">          them</w:t>
      </w:r>
      <w:r w:rsidR="00B67E45">
        <w:rPr>
          <w:rFonts w:ascii="Century Gothic" w:hAnsi="Century Gothic"/>
        </w:rPr>
        <w:t>.</w:t>
      </w:r>
      <w:r>
        <w:rPr>
          <w:rFonts w:ascii="Century Gothic" w:hAnsi="Century Gothic"/>
        </w:rPr>
        <w:t>”</w:t>
      </w:r>
      <w:r w:rsidR="001B42C1">
        <w:rPr>
          <w:rFonts w:ascii="Century Gothic" w:hAnsi="Century Gothic"/>
        </w:rPr>
        <w:t xml:space="preserve"> (emphasis mine).</w:t>
      </w:r>
    </w:p>
    <w:p w14:paraId="2E16A908" w14:textId="365F5666" w:rsidR="00B67E45" w:rsidRDefault="00B67E45" w:rsidP="00614C6C">
      <w:pPr>
        <w:pStyle w:val="NoSpacing"/>
        <w:jc w:val="both"/>
        <w:rPr>
          <w:rFonts w:ascii="Century Gothic" w:hAnsi="Century Gothic"/>
        </w:rPr>
      </w:pPr>
    </w:p>
    <w:p w14:paraId="02824D44" w14:textId="48D8BB69" w:rsidR="00B67E45" w:rsidRDefault="00E5337B" w:rsidP="00614C6C">
      <w:pPr>
        <w:pStyle w:val="NoSpacing"/>
        <w:jc w:val="both"/>
        <w:rPr>
          <w:rFonts w:ascii="Century Gothic" w:hAnsi="Century Gothic"/>
        </w:rPr>
      </w:pPr>
      <w:r>
        <w:rPr>
          <w:rFonts w:ascii="Century Gothic" w:hAnsi="Century Gothic"/>
        </w:rPr>
        <w:t xml:space="preserve">Moving further, the RSG </w:t>
      </w:r>
      <w:r w:rsidR="00232075">
        <w:rPr>
          <w:rFonts w:ascii="Century Gothic" w:hAnsi="Century Gothic"/>
        </w:rPr>
        <w:t xml:space="preserve">report </w:t>
      </w:r>
      <w:r>
        <w:rPr>
          <w:rFonts w:ascii="Century Gothic" w:hAnsi="Century Gothic"/>
        </w:rPr>
        <w:t>proposed a potential solution</w:t>
      </w:r>
      <w:r>
        <w:rPr>
          <w:rStyle w:val="FootnoteReference"/>
          <w:rFonts w:ascii="Century Gothic" w:hAnsi="Century Gothic"/>
        </w:rPr>
        <w:footnoteReference w:id="42"/>
      </w:r>
      <w:r>
        <w:rPr>
          <w:rFonts w:ascii="Century Gothic" w:hAnsi="Century Gothic"/>
        </w:rPr>
        <w:t xml:space="preserve"> that “the term ‘standing charge’ should be abandoned because it is not a term in general use and thus has no generally accepted meaning.”  On this note, those, who advocate “Depreciation is a standing charge, no doubt, </w:t>
      </w:r>
      <w:r w:rsidR="008E1780">
        <w:rPr>
          <w:rFonts w:ascii="Century Gothic" w:hAnsi="Century Gothic"/>
        </w:rPr>
        <w:t xml:space="preserve">would </w:t>
      </w:r>
      <w:r>
        <w:rPr>
          <w:rFonts w:ascii="Century Gothic" w:hAnsi="Century Gothic"/>
        </w:rPr>
        <w:t xml:space="preserve">take exception to this </w:t>
      </w:r>
      <w:r w:rsidR="00232075">
        <w:rPr>
          <w:rFonts w:ascii="Century Gothic" w:hAnsi="Century Gothic"/>
        </w:rPr>
        <w:t>viewpoint</w:t>
      </w:r>
      <w:r>
        <w:rPr>
          <w:rFonts w:ascii="Century Gothic" w:hAnsi="Century Gothic"/>
        </w:rPr>
        <w:t>.</w:t>
      </w:r>
    </w:p>
    <w:p w14:paraId="4E7C8CD3" w14:textId="4096AA3C" w:rsidR="00F7234F" w:rsidRDefault="00F7234F" w:rsidP="00614C6C">
      <w:pPr>
        <w:pStyle w:val="NoSpacing"/>
        <w:jc w:val="both"/>
        <w:rPr>
          <w:rFonts w:ascii="Century Gothic" w:hAnsi="Century Gothic"/>
        </w:rPr>
      </w:pPr>
    </w:p>
    <w:p w14:paraId="6F0D8F12" w14:textId="2C852A78" w:rsidR="00F7234F" w:rsidRDefault="00F7234F" w:rsidP="00614C6C">
      <w:pPr>
        <w:pStyle w:val="NoSpacing"/>
        <w:jc w:val="both"/>
        <w:rPr>
          <w:rFonts w:ascii="Century Gothic" w:hAnsi="Century Gothic"/>
        </w:rPr>
      </w:pPr>
      <w:r>
        <w:rPr>
          <w:rFonts w:ascii="Century Gothic" w:hAnsi="Century Gothic"/>
        </w:rPr>
        <w:t xml:space="preserve">The better alternative solution is to insure Depreciation as an Optional charge on </w:t>
      </w:r>
      <w:r w:rsidR="003F62CC">
        <w:rPr>
          <w:rFonts w:ascii="Century Gothic" w:hAnsi="Century Gothic"/>
        </w:rPr>
        <w:t>a standalone</w:t>
      </w:r>
      <w:r w:rsidR="008D75F8">
        <w:rPr>
          <w:rFonts w:ascii="Century Gothic" w:hAnsi="Century Gothic"/>
        </w:rPr>
        <w:t xml:space="preserve"> item</w:t>
      </w:r>
      <w:r w:rsidR="003F62CC">
        <w:rPr>
          <w:rFonts w:ascii="Century Gothic" w:hAnsi="Century Gothic"/>
        </w:rPr>
        <w:t xml:space="preserve"> basis with a discretionary</w:t>
      </w:r>
      <w:r w:rsidR="008446E3">
        <w:rPr>
          <w:rFonts w:ascii="Century Gothic" w:hAnsi="Century Gothic"/>
        </w:rPr>
        <w:t xml:space="preserve"> minimal </w:t>
      </w:r>
      <w:r w:rsidR="003F62CC">
        <w:rPr>
          <w:rFonts w:ascii="Century Gothic" w:hAnsi="Century Gothic"/>
        </w:rPr>
        <w:t>sum insured, devoid of the underinsurance factor, as shown in Illustrations 5 and 8.</w:t>
      </w:r>
      <w:r w:rsidR="008446E3">
        <w:rPr>
          <w:rFonts w:ascii="Century Gothic" w:hAnsi="Century Gothic"/>
        </w:rPr>
        <w:t xml:space="preserve"> In this order, all or any risk of the policyholder receiving more than </w:t>
      </w:r>
      <w:r w:rsidR="007C02AE">
        <w:rPr>
          <w:rFonts w:ascii="Century Gothic" w:hAnsi="Century Gothic"/>
        </w:rPr>
        <w:t xml:space="preserve">a </w:t>
      </w:r>
      <w:r w:rsidR="008446E3">
        <w:rPr>
          <w:rFonts w:ascii="Century Gothic" w:hAnsi="Century Gothic"/>
        </w:rPr>
        <w:t>full indemnity is eliminated.</w:t>
      </w:r>
    </w:p>
    <w:p w14:paraId="0BBAFAD0" w14:textId="1F34C067" w:rsidR="006E62D4" w:rsidRDefault="006E62D4" w:rsidP="00614C6C">
      <w:pPr>
        <w:pStyle w:val="NoSpacing"/>
        <w:jc w:val="both"/>
        <w:rPr>
          <w:rFonts w:ascii="Century Gothic" w:hAnsi="Century Gothic"/>
        </w:rPr>
      </w:pPr>
    </w:p>
    <w:p w14:paraId="45C5E3CB" w14:textId="012EFA51" w:rsidR="006E62D4" w:rsidRDefault="006E62D4" w:rsidP="00614C6C">
      <w:pPr>
        <w:pStyle w:val="NoSpacing"/>
        <w:jc w:val="both"/>
        <w:rPr>
          <w:rFonts w:ascii="Century Gothic" w:hAnsi="Century Gothic"/>
        </w:rPr>
      </w:pPr>
      <w:r>
        <w:rPr>
          <w:rFonts w:ascii="Century Gothic" w:hAnsi="Century Gothic"/>
        </w:rPr>
        <w:t>In a matter of comparison, the example of the leasing equipment company</w:t>
      </w:r>
      <w:r w:rsidR="002B0DA8">
        <w:rPr>
          <w:rStyle w:val="FootnoteReference"/>
          <w:rFonts w:ascii="Century Gothic" w:hAnsi="Century Gothic"/>
        </w:rPr>
        <w:footnoteReference w:id="43"/>
      </w:r>
      <w:r>
        <w:rPr>
          <w:rFonts w:ascii="Century Gothic" w:hAnsi="Century Gothic"/>
        </w:rPr>
        <w:t xml:space="preserve"> in the RSG’s report is analogous to the manufacturing plant described in the </w:t>
      </w:r>
      <w:r w:rsidR="00E63868">
        <w:rPr>
          <w:rFonts w:ascii="Century Gothic" w:hAnsi="Century Gothic"/>
        </w:rPr>
        <w:t>Introduction</w:t>
      </w:r>
      <w:r w:rsidR="00E63868">
        <w:rPr>
          <w:rStyle w:val="FootnoteReference"/>
          <w:rFonts w:ascii="Century Gothic" w:hAnsi="Century Gothic"/>
        </w:rPr>
        <w:footnoteReference w:id="44"/>
      </w:r>
      <w:r w:rsidR="00E63868">
        <w:rPr>
          <w:rFonts w:ascii="Century Gothic" w:hAnsi="Century Gothic"/>
        </w:rPr>
        <w:t xml:space="preserve"> and in Illustration </w:t>
      </w:r>
      <w:r w:rsidR="00814336">
        <w:rPr>
          <w:rFonts w:ascii="Century Gothic" w:hAnsi="Century Gothic"/>
        </w:rPr>
        <w:t>8</w:t>
      </w:r>
      <w:r w:rsidR="00E63868">
        <w:rPr>
          <w:rFonts w:ascii="Century Gothic" w:hAnsi="Century Gothic"/>
        </w:rPr>
        <w:t xml:space="preserve"> at Column II</w:t>
      </w:r>
      <w:r w:rsidR="000B5412">
        <w:rPr>
          <w:rFonts w:ascii="Century Gothic" w:hAnsi="Century Gothic"/>
        </w:rPr>
        <w:t>,</w:t>
      </w:r>
      <w:r w:rsidR="00E63868">
        <w:rPr>
          <w:rStyle w:val="FootnoteReference"/>
          <w:rFonts w:ascii="Century Gothic" w:hAnsi="Century Gothic"/>
        </w:rPr>
        <w:footnoteReference w:id="45"/>
      </w:r>
      <w:r w:rsidR="00E63868">
        <w:rPr>
          <w:rFonts w:ascii="Century Gothic" w:hAnsi="Century Gothic"/>
        </w:rPr>
        <w:t xml:space="preserve"> </w:t>
      </w:r>
      <w:r w:rsidR="000B5412">
        <w:rPr>
          <w:rFonts w:ascii="Century Gothic" w:hAnsi="Century Gothic"/>
        </w:rPr>
        <w:t xml:space="preserve"> where, in all instances, the sum of depreciation is disproportionate in the Gross Profit. </w:t>
      </w:r>
    </w:p>
    <w:p w14:paraId="6E2206DC" w14:textId="12AA09DC" w:rsidR="000B5412" w:rsidRDefault="000B5412" w:rsidP="00614C6C">
      <w:pPr>
        <w:pStyle w:val="NoSpacing"/>
        <w:jc w:val="both"/>
        <w:rPr>
          <w:rFonts w:ascii="Century Gothic" w:hAnsi="Century Gothic"/>
        </w:rPr>
      </w:pPr>
    </w:p>
    <w:p w14:paraId="204905E7" w14:textId="4D570F9C" w:rsidR="000B5412" w:rsidRDefault="000B5412" w:rsidP="00614C6C">
      <w:pPr>
        <w:pStyle w:val="NoSpacing"/>
        <w:jc w:val="both"/>
        <w:rPr>
          <w:rFonts w:ascii="Century Gothic" w:hAnsi="Century Gothic"/>
        </w:rPr>
      </w:pPr>
      <w:r>
        <w:rPr>
          <w:rFonts w:ascii="Century Gothic" w:hAnsi="Century Gothic"/>
        </w:rPr>
        <w:t xml:space="preserve">With the kind permission and approval of the IIL and CILA, as well as the RSG, and for the benefits of its members, associates and affiliates, for the sake of clarification, </w:t>
      </w:r>
      <w:r w:rsidR="00814336">
        <w:rPr>
          <w:rFonts w:ascii="Century Gothic" w:hAnsi="Century Gothic"/>
        </w:rPr>
        <w:t xml:space="preserve">pertinent </w:t>
      </w:r>
      <w:r>
        <w:rPr>
          <w:rFonts w:ascii="Century Gothic" w:hAnsi="Century Gothic"/>
        </w:rPr>
        <w:t xml:space="preserve">extracts </w:t>
      </w:r>
      <w:r w:rsidR="00241812">
        <w:rPr>
          <w:rFonts w:ascii="Century Gothic" w:hAnsi="Century Gothic"/>
        </w:rPr>
        <w:t xml:space="preserve">relating to the Equipment Leasing Company </w:t>
      </w:r>
      <w:r w:rsidR="00955370">
        <w:rPr>
          <w:rFonts w:ascii="Century Gothic" w:hAnsi="Century Gothic"/>
        </w:rPr>
        <w:t>are set out in the following box:</w:t>
      </w:r>
    </w:p>
    <w:p w14:paraId="5131BBBB" w14:textId="7BFBC7BA" w:rsidR="00955370" w:rsidRDefault="00955370" w:rsidP="00614C6C">
      <w:pPr>
        <w:pStyle w:val="NoSpacing"/>
        <w:jc w:val="both"/>
        <w:rPr>
          <w:rFonts w:ascii="Century Gothic" w:hAnsi="Century Gothic"/>
        </w:rPr>
      </w:pPr>
    </w:p>
    <w:p w14:paraId="052A1FC3" w14:textId="11BF8AEF" w:rsidR="00955370" w:rsidRPr="00814336" w:rsidRDefault="00955370" w:rsidP="00614C6C">
      <w:pPr>
        <w:pStyle w:val="NoSpacing"/>
        <w:jc w:val="both"/>
        <w:rPr>
          <w:rFonts w:ascii="Century Gothic" w:hAnsi="Century Gothic"/>
          <w:b/>
          <w:u w:val="single"/>
        </w:rPr>
      </w:pPr>
      <w:r w:rsidRPr="00814336">
        <w:rPr>
          <w:rFonts w:ascii="Century Gothic" w:hAnsi="Century Gothic"/>
          <w:b/>
          <w:u w:val="single"/>
        </w:rPr>
        <w:t xml:space="preserve">Illustration 6 </w:t>
      </w:r>
    </w:p>
    <w:p w14:paraId="19D6C3D1" w14:textId="5F22DE0C" w:rsidR="00955370" w:rsidRDefault="00955370" w:rsidP="00614C6C">
      <w:pPr>
        <w:pStyle w:val="NoSpacing"/>
        <w:jc w:val="both"/>
        <w:rPr>
          <w:rFonts w:ascii="Century Gothic" w:hAnsi="Century Gothic"/>
        </w:rPr>
      </w:pPr>
    </w:p>
    <w:tbl>
      <w:tblPr>
        <w:tblStyle w:val="TableGrid"/>
        <w:tblW w:w="0" w:type="auto"/>
        <w:tblLook w:val="04A0" w:firstRow="1" w:lastRow="0" w:firstColumn="1" w:lastColumn="0" w:noHBand="0" w:noVBand="1"/>
      </w:tblPr>
      <w:tblGrid>
        <w:gridCol w:w="9016"/>
      </w:tblGrid>
      <w:tr w:rsidR="00955370" w14:paraId="0533BEB0" w14:textId="77777777" w:rsidTr="00955370">
        <w:tc>
          <w:tcPr>
            <w:tcW w:w="9016" w:type="dxa"/>
          </w:tcPr>
          <w:p w14:paraId="6DB02FE9" w14:textId="6C31861D" w:rsidR="00955370" w:rsidRDefault="00955370" w:rsidP="00614C6C">
            <w:pPr>
              <w:pStyle w:val="NoSpacing"/>
              <w:jc w:val="both"/>
              <w:rPr>
                <w:rFonts w:ascii="Century Gothic" w:hAnsi="Century Gothic"/>
              </w:rPr>
            </w:pPr>
            <w:r w:rsidRPr="00955370">
              <w:rPr>
                <w:rFonts w:ascii="Century Gothic" w:hAnsi="Century Gothic"/>
                <w:u w:val="single"/>
              </w:rPr>
              <w:t>Business Insured:</w:t>
            </w:r>
            <w:r>
              <w:rPr>
                <w:rFonts w:ascii="Century Gothic" w:hAnsi="Century Gothic"/>
              </w:rPr>
              <w:t xml:space="preserve"> Equipment leasing </w:t>
            </w:r>
            <w:r w:rsidR="00232075">
              <w:rPr>
                <w:rFonts w:ascii="Century Gothic" w:hAnsi="Century Gothic"/>
              </w:rPr>
              <w:t>c</w:t>
            </w:r>
            <w:r>
              <w:rPr>
                <w:rFonts w:ascii="Century Gothic" w:hAnsi="Century Gothic"/>
              </w:rPr>
              <w:t>ompany</w:t>
            </w:r>
          </w:p>
          <w:p w14:paraId="469DFA98" w14:textId="35A3753B" w:rsidR="00955370" w:rsidRDefault="00955370" w:rsidP="00614C6C">
            <w:pPr>
              <w:pStyle w:val="NoSpacing"/>
              <w:jc w:val="both"/>
              <w:rPr>
                <w:rFonts w:ascii="Century Gothic" w:hAnsi="Century Gothic"/>
              </w:rPr>
            </w:pPr>
            <w:r w:rsidRPr="00955370">
              <w:rPr>
                <w:rFonts w:ascii="Century Gothic" w:hAnsi="Century Gothic"/>
                <w:u w:val="single"/>
              </w:rPr>
              <w:t>Nature of Trade</w:t>
            </w:r>
            <w:r>
              <w:rPr>
                <w:rFonts w:ascii="Century Gothic" w:hAnsi="Century Gothic"/>
              </w:rPr>
              <w:t>: Rental of electronic testing equipment to the aviation and telecommunications industries.</w:t>
            </w:r>
          </w:p>
          <w:p w14:paraId="5AD5345F" w14:textId="76E8F962" w:rsidR="00955370" w:rsidRDefault="00955370" w:rsidP="00614C6C">
            <w:pPr>
              <w:pStyle w:val="NoSpacing"/>
              <w:jc w:val="both"/>
              <w:rPr>
                <w:rFonts w:ascii="Century Gothic" w:hAnsi="Century Gothic"/>
              </w:rPr>
            </w:pPr>
            <w:r w:rsidRPr="001A2539">
              <w:rPr>
                <w:rFonts w:ascii="Century Gothic" w:hAnsi="Century Gothic"/>
                <w:u w:val="single"/>
              </w:rPr>
              <w:t>Uninsured Working Expenses</w:t>
            </w:r>
            <w:r>
              <w:rPr>
                <w:rFonts w:ascii="Century Gothic" w:hAnsi="Century Gothic"/>
              </w:rPr>
              <w:t>: Purchases (largest item) not converted to stock for sale</w:t>
            </w:r>
          </w:p>
          <w:p w14:paraId="2DA60625" w14:textId="0AA637BD" w:rsidR="00955370" w:rsidRDefault="001A2539" w:rsidP="00614C6C">
            <w:pPr>
              <w:pStyle w:val="NoSpacing"/>
              <w:jc w:val="both"/>
              <w:rPr>
                <w:rFonts w:ascii="Century Gothic" w:hAnsi="Century Gothic"/>
              </w:rPr>
            </w:pPr>
            <w:r w:rsidRPr="001A2539">
              <w:rPr>
                <w:rFonts w:ascii="Century Gothic" w:hAnsi="Century Gothic"/>
                <w:u w:val="single"/>
              </w:rPr>
              <w:t>Rate of Gross Profit</w:t>
            </w:r>
            <w:r>
              <w:rPr>
                <w:rFonts w:ascii="Century Gothic" w:hAnsi="Century Gothic"/>
              </w:rPr>
              <w:t xml:space="preserve"> (RGP): Unusually high 90%, Depreciation 50% of Operating costs </w:t>
            </w:r>
          </w:p>
          <w:p w14:paraId="2F7DD4CB" w14:textId="27370324" w:rsidR="001A2539" w:rsidRDefault="001A2539" w:rsidP="00614C6C">
            <w:pPr>
              <w:pStyle w:val="NoSpacing"/>
              <w:jc w:val="both"/>
              <w:rPr>
                <w:rFonts w:ascii="Century Gothic" w:hAnsi="Century Gothic"/>
              </w:rPr>
            </w:pPr>
            <w:r w:rsidRPr="001A2539">
              <w:rPr>
                <w:rFonts w:ascii="Century Gothic" w:hAnsi="Century Gothic"/>
                <w:u w:val="single"/>
              </w:rPr>
              <w:t>Claim for rental loss</w:t>
            </w:r>
            <w:r>
              <w:rPr>
                <w:rFonts w:ascii="Century Gothic" w:hAnsi="Century Gothic"/>
              </w:rPr>
              <w:t>: £15m</w:t>
            </w:r>
          </w:p>
          <w:p w14:paraId="04803F11" w14:textId="5A9BF8FB" w:rsidR="00230731" w:rsidRDefault="00230731" w:rsidP="00614C6C">
            <w:pPr>
              <w:pStyle w:val="NoSpacing"/>
              <w:jc w:val="both"/>
              <w:rPr>
                <w:rFonts w:ascii="Century Gothic" w:hAnsi="Century Gothic"/>
              </w:rPr>
            </w:pPr>
            <w:r>
              <w:rPr>
                <w:rFonts w:ascii="Century Gothic" w:hAnsi="Century Gothic"/>
              </w:rPr>
              <w:t>Loss of GP                : £15m x 90% = £13.5m</w:t>
            </w:r>
          </w:p>
          <w:p w14:paraId="0FEEBE6F" w14:textId="1F24342F" w:rsidR="001A2539" w:rsidRDefault="001A2539" w:rsidP="00614C6C">
            <w:pPr>
              <w:pStyle w:val="NoSpacing"/>
              <w:jc w:val="both"/>
              <w:rPr>
                <w:rFonts w:ascii="Century Gothic" w:hAnsi="Century Gothic"/>
              </w:rPr>
            </w:pPr>
            <w:r w:rsidRPr="001A2539">
              <w:rPr>
                <w:rFonts w:ascii="Century Gothic" w:hAnsi="Century Gothic"/>
                <w:u w:val="single"/>
              </w:rPr>
              <w:t>Depreciation:</w:t>
            </w:r>
            <w:r>
              <w:rPr>
                <w:rFonts w:ascii="Century Gothic" w:hAnsi="Century Gothic"/>
              </w:rPr>
              <w:t xml:space="preserve"> £7.2m</w:t>
            </w:r>
          </w:p>
          <w:p w14:paraId="4AF2B19C" w14:textId="2EF6A2E6" w:rsidR="001A2539" w:rsidRDefault="001A2539" w:rsidP="00614C6C">
            <w:pPr>
              <w:pStyle w:val="NoSpacing"/>
              <w:jc w:val="both"/>
              <w:rPr>
                <w:rFonts w:ascii="Century Gothic" w:hAnsi="Century Gothic"/>
              </w:rPr>
            </w:pPr>
            <w:r w:rsidRPr="00814336">
              <w:rPr>
                <w:rFonts w:ascii="Century Gothic" w:hAnsi="Century Gothic"/>
                <w:u w:val="single"/>
              </w:rPr>
              <w:t>Net Amount payable</w:t>
            </w:r>
            <w:r>
              <w:rPr>
                <w:rFonts w:ascii="Century Gothic" w:hAnsi="Century Gothic"/>
              </w:rPr>
              <w:t>:: £6.3m (£</w:t>
            </w:r>
            <w:r w:rsidR="00230731">
              <w:rPr>
                <w:rFonts w:ascii="Century Gothic" w:hAnsi="Century Gothic"/>
              </w:rPr>
              <w:t>13.5</w:t>
            </w:r>
            <w:r>
              <w:rPr>
                <w:rFonts w:ascii="Century Gothic" w:hAnsi="Century Gothic"/>
              </w:rPr>
              <w:t xml:space="preserve"> - £7.2m</w:t>
            </w:r>
            <w:r w:rsidR="00814336">
              <w:rPr>
                <w:rFonts w:ascii="Century Gothic" w:hAnsi="Century Gothic"/>
              </w:rPr>
              <w:t>) net of depreciation</w:t>
            </w:r>
          </w:p>
          <w:p w14:paraId="437DCC50" w14:textId="77777777" w:rsidR="001A2539" w:rsidRDefault="001A2539" w:rsidP="00614C6C">
            <w:pPr>
              <w:pStyle w:val="NoSpacing"/>
              <w:jc w:val="both"/>
              <w:rPr>
                <w:rFonts w:ascii="Century Gothic" w:hAnsi="Century Gothic"/>
              </w:rPr>
            </w:pPr>
          </w:p>
          <w:p w14:paraId="3660EBA5" w14:textId="37669442" w:rsidR="00814336" w:rsidRPr="00814336" w:rsidRDefault="00814336" w:rsidP="00614C6C">
            <w:pPr>
              <w:pStyle w:val="NoSpacing"/>
              <w:jc w:val="both"/>
              <w:rPr>
                <w:rFonts w:ascii="Century Gothic" w:hAnsi="Century Gothic"/>
                <w:u w:val="single"/>
              </w:rPr>
            </w:pPr>
            <w:r w:rsidRPr="00814336">
              <w:rPr>
                <w:rFonts w:ascii="Century Gothic" w:hAnsi="Century Gothic"/>
                <w:u w:val="single"/>
              </w:rPr>
              <w:t>Recommendation:</w:t>
            </w:r>
            <w:r w:rsidRPr="00814336">
              <w:rPr>
                <w:rFonts w:ascii="Century Gothic" w:hAnsi="Century Gothic"/>
              </w:rPr>
              <w:t xml:space="preserve">  </w:t>
            </w:r>
            <w:r>
              <w:rPr>
                <w:rFonts w:ascii="Century Gothic" w:hAnsi="Century Gothic"/>
              </w:rPr>
              <w:t>A</w:t>
            </w:r>
            <w:r w:rsidRPr="00814336">
              <w:rPr>
                <w:rFonts w:ascii="Century Gothic" w:hAnsi="Century Gothic"/>
              </w:rPr>
              <w:t>mend</w:t>
            </w:r>
            <w:r>
              <w:rPr>
                <w:rFonts w:ascii="Century Gothic" w:hAnsi="Century Gothic"/>
              </w:rPr>
              <w:t xml:space="preserve"> </w:t>
            </w:r>
            <w:r w:rsidRPr="00814336">
              <w:rPr>
                <w:rFonts w:ascii="Century Gothic" w:hAnsi="Century Gothic"/>
              </w:rPr>
              <w:t>saving</w:t>
            </w:r>
            <w:r>
              <w:rPr>
                <w:rFonts w:ascii="Century Gothic" w:hAnsi="Century Gothic"/>
              </w:rPr>
              <w:t>s</w:t>
            </w:r>
            <w:r w:rsidRPr="00814336">
              <w:rPr>
                <w:rFonts w:ascii="Century Gothic" w:hAnsi="Century Gothic"/>
              </w:rPr>
              <w:t xml:space="preserve"> clause whether saving should or should not include depreciation.</w:t>
            </w:r>
          </w:p>
          <w:p w14:paraId="735B009F" w14:textId="61EF5A1D" w:rsidR="00814336" w:rsidRDefault="00814336" w:rsidP="00614C6C">
            <w:pPr>
              <w:pStyle w:val="NoSpacing"/>
              <w:jc w:val="both"/>
              <w:rPr>
                <w:rFonts w:ascii="Century Gothic" w:hAnsi="Century Gothic"/>
              </w:rPr>
            </w:pPr>
          </w:p>
        </w:tc>
      </w:tr>
    </w:tbl>
    <w:p w14:paraId="57AD6A3E" w14:textId="77777777" w:rsidR="00955370" w:rsidRPr="0014628B" w:rsidRDefault="00955370" w:rsidP="00614C6C">
      <w:pPr>
        <w:pStyle w:val="NoSpacing"/>
        <w:jc w:val="both"/>
        <w:rPr>
          <w:rFonts w:ascii="Century Gothic" w:hAnsi="Century Gothic"/>
        </w:rPr>
      </w:pPr>
    </w:p>
    <w:p w14:paraId="3C7D11F9" w14:textId="06E0114E" w:rsidR="003E768A" w:rsidRDefault="00241812" w:rsidP="007F2823">
      <w:pPr>
        <w:pStyle w:val="NoSpacing"/>
        <w:jc w:val="both"/>
        <w:rPr>
          <w:rFonts w:ascii="Century Gothic" w:hAnsi="Century Gothic"/>
        </w:rPr>
      </w:pPr>
      <w:r w:rsidRPr="00241812">
        <w:rPr>
          <w:rFonts w:ascii="Century Gothic" w:hAnsi="Century Gothic"/>
        </w:rPr>
        <w:t>As indicated above,</w:t>
      </w:r>
      <w:r w:rsidR="00F927F4">
        <w:rPr>
          <w:rFonts w:ascii="Century Gothic" w:hAnsi="Century Gothic"/>
        </w:rPr>
        <w:t xml:space="preserve"> the RSG 265 report had suggested an amendment</w:t>
      </w:r>
      <w:r w:rsidR="00F927F4">
        <w:rPr>
          <w:rStyle w:val="FootnoteReference"/>
          <w:rFonts w:ascii="Century Gothic" w:hAnsi="Century Gothic"/>
        </w:rPr>
        <w:footnoteReference w:id="46"/>
      </w:r>
      <w:r w:rsidR="00F927F4">
        <w:rPr>
          <w:rFonts w:ascii="Century Gothic" w:hAnsi="Century Gothic"/>
        </w:rPr>
        <w:t xml:space="preserve"> to the savings clause, with a view to resolve the</w:t>
      </w:r>
      <w:r w:rsidR="00223053">
        <w:rPr>
          <w:rFonts w:ascii="Century Gothic" w:hAnsi="Century Gothic"/>
        </w:rPr>
        <w:t xml:space="preserve"> matter.</w:t>
      </w:r>
    </w:p>
    <w:p w14:paraId="5E57997C" w14:textId="2E62131A" w:rsidR="00223053" w:rsidRDefault="00223053" w:rsidP="007F2823">
      <w:pPr>
        <w:pStyle w:val="NoSpacing"/>
        <w:jc w:val="both"/>
        <w:rPr>
          <w:rFonts w:ascii="Century Gothic" w:hAnsi="Century Gothic"/>
        </w:rPr>
      </w:pPr>
      <w:r>
        <w:rPr>
          <w:rFonts w:ascii="Century Gothic" w:hAnsi="Century Gothic"/>
        </w:rPr>
        <w:lastRenderedPageBreak/>
        <w:t xml:space="preserve">It is submitted that to all intents and purposes, there is no need to amend the savings clause, which is </w:t>
      </w:r>
      <w:r w:rsidR="007D53A4">
        <w:rPr>
          <w:rFonts w:ascii="Century Gothic" w:hAnsi="Century Gothic"/>
        </w:rPr>
        <w:t xml:space="preserve">a </w:t>
      </w:r>
      <w:r>
        <w:rPr>
          <w:rFonts w:ascii="Century Gothic" w:hAnsi="Century Gothic"/>
        </w:rPr>
        <w:t xml:space="preserve">sacrosanct, </w:t>
      </w:r>
      <w:r w:rsidR="007D53A4">
        <w:rPr>
          <w:rFonts w:ascii="Century Gothic" w:hAnsi="Century Gothic"/>
        </w:rPr>
        <w:t xml:space="preserve">well-entrenched and infallible mechanism applicable across the board to all standing charges, not depreciation alone, </w:t>
      </w:r>
      <w:r>
        <w:rPr>
          <w:rFonts w:ascii="Century Gothic" w:hAnsi="Century Gothic"/>
        </w:rPr>
        <w:t xml:space="preserve">but simply insure </w:t>
      </w:r>
      <w:r w:rsidR="00925533">
        <w:rPr>
          <w:rFonts w:ascii="Century Gothic" w:hAnsi="Century Gothic"/>
        </w:rPr>
        <w:t>“Depreciation Charge,” as a standalone item, under the Interests Insured, as shown in Illustrations 5</w:t>
      </w:r>
      <w:r w:rsidR="00925533">
        <w:rPr>
          <w:rStyle w:val="FootnoteReference"/>
          <w:rFonts w:ascii="Century Gothic" w:hAnsi="Century Gothic"/>
        </w:rPr>
        <w:footnoteReference w:id="47"/>
      </w:r>
      <w:r w:rsidR="00925533">
        <w:rPr>
          <w:rFonts w:ascii="Century Gothic" w:hAnsi="Century Gothic"/>
        </w:rPr>
        <w:t xml:space="preserve"> and 9</w:t>
      </w:r>
      <w:r w:rsidR="00925533">
        <w:rPr>
          <w:rStyle w:val="FootnoteReference"/>
          <w:rFonts w:ascii="Century Gothic" w:hAnsi="Century Gothic"/>
        </w:rPr>
        <w:footnoteReference w:id="48"/>
      </w:r>
      <w:r w:rsidR="00925533">
        <w:rPr>
          <w:rFonts w:ascii="Century Gothic" w:hAnsi="Century Gothic"/>
        </w:rPr>
        <w:t>.</w:t>
      </w:r>
    </w:p>
    <w:p w14:paraId="49F7932D" w14:textId="39D5F96B" w:rsidR="00A71B83" w:rsidRDefault="00A71B83" w:rsidP="007F2823">
      <w:pPr>
        <w:pStyle w:val="NoSpacing"/>
        <w:jc w:val="both"/>
        <w:rPr>
          <w:rFonts w:ascii="Century Gothic" w:hAnsi="Century Gothic"/>
        </w:rPr>
      </w:pPr>
    </w:p>
    <w:p w14:paraId="60CE5011" w14:textId="049D3042" w:rsidR="00A71B83" w:rsidRPr="00241812" w:rsidRDefault="00A71B83" w:rsidP="007F2823">
      <w:pPr>
        <w:pStyle w:val="NoSpacing"/>
        <w:jc w:val="both"/>
        <w:rPr>
          <w:rFonts w:ascii="Century Gothic" w:hAnsi="Century Gothic"/>
        </w:rPr>
      </w:pPr>
      <w:r>
        <w:rPr>
          <w:rFonts w:ascii="Century Gothic" w:hAnsi="Century Gothic"/>
        </w:rPr>
        <w:t>The Insured’s accountant would be in the best position</w:t>
      </w:r>
      <w:r w:rsidR="004B5AD9">
        <w:rPr>
          <w:rStyle w:val="FootnoteReference"/>
          <w:rFonts w:ascii="Century Gothic" w:hAnsi="Century Gothic"/>
        </w:rPr>
        <w:footnoteReference w:id="49"/>
      </w:r>
      <w:r>
        <w:rPr>
          <w:rFonts w:ascii="Century Gothic" w:hAnsi="Century Gothic"/>
        </w:rPr>
        <w:t xml:space="preserve"> to advise a suitable figure for the insurable Depreciation charge on a limit of liability basis, thus, the Insured would be the self-insurer for any loss in excess of the policy limit.</w:t>
      </w:r>
    </w:p>
    <w:p w14:paraId="7B706453" w14:textId="77777777" w:rsidR="00241812" w:rsidRPr="00A11435" w:rsidRDefault="00241812" w:rsidP="007F2823">
      <w:pPr>
        <w:pStyle w:val="NoSpacing"/>
        <w:jc w:val="both"/>
        <w:rPr>
          <w:rFonts w:ascii="Century Gothic" w:hAnsi="Century Gothic"/>
          <w:b/>
        </w:rPr>
      </w:pPr>
    </w:p>
    <w:p w14:paraId="6C69B1DF" w14:textId="77777777" w:rsidR="007D53A4" w:rsidRDefault="007D53A4" w:rsidP="007F2823">
      <w:pPr>
        <w:pStyle w:val="NoSpacing"/>
        <w:jc w:val="both"/>
        <w:rPr>
          <w:rFonts w:ascii="Century Gothic" w:hAnsi="Century Gothic"/>
          <w:b/>
        </w:rPr>
      </w:pPr>
    </w:p>
    <w:p w14:paraId="4F30F260" w14:textId="0383A550" w:rsidR="00AB23AB" w:rsidRPr="00A11435" w:rsidRDefault="00A103D3" w:rsidP="007F2823">
      <w:pPr>
        <w:pStyle w:val="NoSpacing"/>
        <w:jc w:val="both"/>
        <w:rPr>
          <w:rFonts w:ascii="Century Gothic" w:hAnsi="Century Gothic"/>
          <w:b/>
        </w:rPr>
      </w:pPr>
      <w:r w:rsidRPr="00A11435">
        <w:rPr>
          <w:rFonts w:ascii="Century Gothic" w:hAnsi="Century Gothic"/>
          <w:b/>
        </w:rPr>
        <w:t>Addition Basis v Difference Basis</w:t>
      </w:r>
    </w:p>
    <w:p w14:paraId="6199A3B5" w14:textId="77777777" w:rsidR="003A7091" w:rsidRDefault="003A7091" w:rsidP="007F2823">
      <w:pPr>
        <w:pStyle w:val="NoSpacing"/>
        <w:jc w:val="both"/>
        <w:rPr>
          <w:rFonts w:ascii="Century Gothic" w:hAnsi="Century Gothic"/>
        </w:rPr>
      </w:pPr>
    </w:p>
    <w:p w14:paraId="4DD3ABE8" w14:textId="62537064" w:rsidR="003A7091" w:rsidRDefault="00A103D3" w:rsidP="007F2823">
      <w:pPr>
        <w:pStyle w:val="NoSpacing"/>
        <w:jc w:val="both"/>
        <w:rPr>
          <w:rFonts w:ascii="Century Gothic" w:hAnsi="Century Gothic"/>
        </w:rPr>
      </w:pPr>
      <w:r>
        <w:rPr>
          <w:rFonts w:ascii="Century Gothic" w:hAnsi="Century Gothic"/>
        </w:rPr>
        <w:t xml:space="preserve">At the outset, the Addition Basis of Gross Profit was the order of the day. In that era, depreciation expense </w:t>
      </w:r>
      <w:r w:rsidR="009F1CB7">
        <w:rPr>
          <w:rFonts w:ascii="Century Gothic" w:hAnsi="Century Gothic"/>
        </w:rPr>
        <w:t xml:space="preserve">crystal clearly stated </w:t>
      </w:r>
      <w:r>
        <w:rPr>
          <w:rFonts w:ascii="Century Gothic" w:hAnsi="Century Gothic"/>
        </w:rPr>
        <w:t xml:space="preserve">in the financial  statements </w:t>
      </w:r>
      <w:r w:rsidR="00035B45">
        <w:rPr>
          <w:rFonts w:ascii="Century Gothic" w:hAnsi="Century Gothic"/>
        </w:rPr>
        <w:t xml:space="preserve">were </w:t>
      </w:r>
      <w:r>
        <w:rPr>
          <w:rFonts w:ascii="Century Gothic" w:hAnsi="Century Gothic"/>
        </w:rPr>
        <w:t>p</w:t>
      </w:r>
      <w:r w:rsidR="009F1CB7">
        <w:rPr>
          <w:rFonts w:ascii="Century Gothic" w:hAnsi="Century Gothic"/>
        </w:rPr>
        <w:t xml:space="preserve">remised on </w:t>
      </w:r>
      <w:r>
        <w:rPr>
          <w:rFonts w:ascii="Century Gothic" w:hAnsi="Century Gothic"/>
        </w:rPr>
        <w:t xml:space="preserve"> an archaic accounting system.</w:t>
      </w:r>
    </w:p>
    <w:p w14:paraId="10A085CC" w14:textId="77777777" w:rsidR="00C40C30" w:rsidRDefault="00C40C30" w:rsidP="007F2823">
      <w:pPr>
        <w:pStyle w:val="NoSpacing"/>
        <w:jc w:val="both"/>
        <w:rPr>
          <w:rFonts w:ascii="Century Gothic" w:hAnsi="Century Gothic"/>
        </w:rPr>
      </w:pPr>
    </w:p>
    <w:p w14:paraId="77847F82" w14:textId="4BE0F840" w:rsidR="00A103D3" w:rsidRDefault="00A103D3" w:rsidP="007F2823">
      <w:pPr>
        <w:pStyle w:val="NoSpacing"/>
        <w:jc w:val="both"/>
        <w:rPr>
          <w:rFonts w:ascii="Century Gothic" w:hAnsi="Century Gothic"/>
        </w:rPr>
      </w:pPr>
      <w:r>
        <w:rPr>
          <w:rFonts w:ascii="Century Gothic" w:hAnsi="Century Gothic"/>
        </w:rPr>
        <w:t>Addition Basis is a simple process of adding selected standing charges to the net profit to produce gross profit.</w:t>
      </w:r>
      <w:r w:rsidR="009177AA">
        <w:rPr>
          <w:rFonts w:ascii="Century Gothic" w:hAnsi="Century Gothic"/>
        </w:rPr>
        <w:t xml:space="preserve"> </w:t>
      </w:r>
      <w:r w:rsidR="009F1CB7">
        <w:rPr>
          <w:rFonts w:ascii="Century Gothic" w:hAnsi="Century Gothic"/>
        </w:rPr>
        <w:t xml:space="preserve"> </w:t>
      </w:r>
      <w:r w:rsidR="009177AA">
        <w:rPr>
          <w:rFonts w:ascii="Century Gothic" w:hAnsi="Century Gothic"/>
        </w:rPr>
        <w:t>In a net loss</w:t>
      </w:r>
      <w:r w:rsidR="009F1CB7">
        <w:rPr>
          <w:rFonts w:ascii="Century Gothic" w:hAnsi="Century Gothic"/>
        </w:rPr>
        <w:t xml:space="preserve"> situation</w:t>
      </w:r>
      <w:r w:rsidR="009177AA">
        <w:rPr>
          <w:rFonts w:ascii="Century Gothic" w:hAnsi="Century Gothic"/>
        </w:rPr>
        <w:t xml:space="preserve">, standing charges will </w:t>
      </w:r>
      <w:r w:rsidR="00595A24">
        <w:rPr>
          <w:rFonts w:ascii="Century Gothic" w:hAnsi="Century Gothic"/>
        </w:rPr>
        <w:t xml:space="preserve">exacerbate </w:t>
      </w:r>
      <w:r w:rsidR="009177AA">
        <w:rPr>
          <w:rFonts w:ascii="Century Gothic" w:hAnsi="Century Gothic"/>
        </w:rPr>
        <w:t xml:space="preserve">this </w:t>
      </w:r>
      <w:r w:rsidR="00595A24">
        <w:rPr>
          <w:rFonts w:ascii="Century Gothic" w:hAnsi="Century Gothic"/>
        </w:rPr>
        <w:t xml:space="preserve">net </w:t>
      </w:r>
      <w:r w:rsidR="009177AA">
        <w:rPr>
          <w:rFonts w:ascii="Century Gothic" w:hAnsi="Century Gothic"/>
        </w:rPr>
        <w:t>loss.</w:t>
      </w:r>
    </w:p>
    <w:p w14:paraId="3BC71D98" w14:textId="60C71514" w:rsidR="00A103D3" w:rsidRDefault="00A103D3" w:rsidP="007F2823">
      <w:pPr>
        <w:pStyle w:val="NoSpacing"/>
        <w:jc w:val="both"/>
        <w:rPr>
          <w:rFonts w:ascii="Century Gothic" w:hAnsi="Century Gothic"/>
        </w:rPr>
      </w:pPr>
    </w:p>
    <w:p w14:paraId="6E21D5CD" w14:textId="77777777" w:rsidR="00A37CD0" w:rsidRDefault="00A103D3" w:rsidP="007F2823">
      <w:pPr>
        <w:pStyle w:val="NoSpacing"/>
        <w:jc w:val="both"/>
        <w:rPr>
          <w:rFonts w:ascii="Century Gothic" w:hAnsi="Century Gothic"/>
        </w:rPr>
      </w:pPr>
      <w:r>
        <w:rPr>
          <w:rFonts w:ascii="Century Gothic" w:hAnsi="Century Gothic"/>
        </w:rPr>
        <w:t>Standing charges were extracted from the audited accounts.</w:t>
      </w:r>
      <w:r w:rsidR="00A37CD0">
        <w:rPr>
          <w:rFonts w:ascii="Century Gothic" w:hAnsi="Century Gothic"/>
        </w:rPr>
        <w:t xml:space="preserve"> </w:t>
      </w:r>
    </w:p>
    <w:p w14:paraId="54637C98" w14:textId="77777777" w:rsidR="00A37CD0" w:rsidRDefault="00A37CD0" w:rsidP="007F2823">
      <w:pPr>
        <w:pStyle w:val="NoSpacing"/>
        <w:jc w:val="both"/>
        <w:rPr>
          <w:rFonts w:ascii="Century Gothic" w:hAnsi="Century Gothic"/>
        </w:rPr>
      </w:pPr>
    </w:p>
    <w:p w14:paraId="59628D63" w14:textId="23141482" w:rsidR="00A103D3" w:rsidRDefault="00A103D3" w:rsidP="007F2823">
      <w:pPr>
        <w:pStyle w:val="NoSpacing"/>
        <w:jc w:val="both"/>
        <w:rPr>
          <w:rFonts w:ascii="Century Gothic" w:hAnsi="Century Gothic"/>
        </w:rPr>
      </w:pPr>
      <w:r>
        <w:rPr>
          <w:rFonts w:ascii="Century Gothic" w:hAnsi="Century Gothic"/>
        </w:rPr>
        <w:t xml:space="preserve">By its </w:t>
      </w:r>
      <w:r w:rsidR="009177AA">
        <w:rPr>
          <w:rFonts w:ascii="Century Gothic" w:hAnsi="Century Gothic"/>
        </w:rPr>
        <w:t xml:space="preserve">own volition, the </w:t>
      </w:r>
      <w:r w:rsidR="00DC4EC4">
        <w:rPr>
          <w:rFonts w:ascii="Century Gothic" w:hAnsi="Century Gothic"/>
        </w:rPr>
        <w:t>A</w:t>
      </w:r>
      <w:r w:rsidR="009177AA">
        <w:rPr>
          <w:rFonts w:ascii="Century Gothic" w:hAnsi="Century Gothic"/>
        </w:rPr>
        <w:t xml:space="preserve">ddition Basis is contractual and mandatory </w:t>
      </w:r>
      <w:r w:rsidR="00DC4EC4">
        <w:rPr>
          <w:rFonts w:ascii="Century Gothic" w:hAnsi="Century Gothic"/>
        </w:rPr>
        <w:t xml:space="preserve">in law </w:t>
      </w:r>
      <w:r w:rsidR="009177AA">
        <w:rPr>
          <w:rFonts w:ascii="Century Gothic" w:hAnsi="Century Gothic"/>
        </w:rPr>
        <w:t xml:space="preserve">as evidenced from its </w:t>
      </w:r>
      <w:r w:rsidR="00695F2A">
        <w:rPr>
          <w:rFonts w:ascii="Century Gothic" w:hAnsi="Century Gothic"/>
        </w:rPr>
        <w:t>definition of Net Profit.</w:t>
      </w:r>
      <w:r w:rsidR="00695F2A">
        <w:rPr>
          <w:rStyle w:val="FootnoteReference"/>
          <w:rFonts w:ascii="Century Gothic" w:hAnsi="Century Gothic"/>
        </w:rPr>
        <w:footnoteReference w:id="50"/>
      </w:r>
    </w:p>
    <w:p w14:paraId="3277FD3C" w14:textId="2A55E98C" w:rsidR="00A103D3" w:rsidRDefault="00A103D3" w:rsidP="007F2823">
      <w:pPr>
        <w:pStyle w:val="NoSpacing"/>
        <w:jc w:val="both"/>
        <w:rPr>
          <w:rFonts w:ascii="Century Gothic" w:hAnsi="Century Gothic"/>
        </w:rPr>
      </w:pPr>
    </w:p>
    <w:p w14:paraId="3CED7474" w14:textId="1A53FCF7" w:rsidR="00DC4EC4" w:rsidRDefault="00DC4EC4" w:rsidP="007F2823">
      <w:pPr>
        <w:pStyle w:val="NoSpacing"/>
        <w:jc w:val="both"/>
        <w:rPr>
          <w:rFonts w:ascii="Century Gothic" w:hAnsi="Century Gothic"/>
        </w:rPr>
      </w:pPr>
      <w:r>
        <w:rPr>
          <w:rFonts w:ascii="Century Gothic" w:hAnsi="Century Gothic"/>
        </w:rPr>
        <w:t>In essence, therefore, Depreciation is</w:t>
      </w:r>
      <w:r w:rsidR="009F1CB7">
        <w:rPr>
          <w:rFonts w:ascii="Century Gothic" w:hAnsi="Century Gothic"/>
        </w:rPr>
        <w:t>,</w:t>
      </w:r>
      <w:r>
        <w:rPr>
          <w:rFonts w:ascii="Century Gothic" w:hAnsi="Century Gothic"/>
        </w:rPr>
        <w:t xml:space="preserve"> by way of contract</w:t>
      </w:r>
      <w:r w:rsidR="009F1CB7">
        <w:rPr>
          <w:rFonts w:ascii="Century Gothic" w:hAnsi="Century Gothic"/>
        </w:rPr>
        <w:t>,</w:t>
      </w:r>
      <w:r>
        <w:rPr>
          <w:rFonts w:ascii="Century Gothic" w:hAnsi="Century Gothic"/>
        </w:rPr>
        <w:t xml:space="preserve"> formalised as a standing charge.</w:t>
      </w:r>
    </w:p>
    <w:p w14:paraId="5C77CCC2" w14:textId="7AF712A7" w:rsidR="003E36F2" w:rsidRDefault="003E36F2" w:rsidP="007F2823">
      <w:pPr>
        <w:pStyle w:val="NoSpacing"/>
        <w:jc w:val="both"/>
        <w:rPr>
          <w:rFonts w:ascii="Century Gothic" w:hAnsi="Century Gothic"/>
        </w:rPr>
      </w:pPr>
    </w:p>
    <w:p w14:paraId="73938B3F" w14:textId="1A6B7E5B" w:rsidR="003E36F2" w:rsidRDefault="003E36F2" w:rsidP="007F2823">
      <w:pPr>
        <w:pStyle w:val="NoSpacing"/>
        <w:jc w:val="both"/>
        <w:rPr>
          <w:rFonts w:ascii="Century Gothic" w:hAnsi="Century Gothic"/>
        </w:rPr>
      </w:pPr>
      <w:r>
        <w:rPr>
          <w:rFonts w:ascii="Century Gothic" w:hAnsi="Century Gothic"/>
        </w:rPr>
        <w:t xml:space="preserve">Both insurer and insured were bound by the contract of BI insurance policy. </w:t>
      </w:r>
      <w:r w:rsidR="001D6CE9">
        <w:rPr>
          <w:rFonts w:ascii="Century Gothic" w:hAnsi="Century Gothic"/>
        </w:rPr>
        <w:t>As such, t</w:t>
      </w:r>
      <w:r>
        <w:rPr>
          <w:rFonts w:ascii="Century Gothic" w:hAnsi="Century Gothic"/>
        </w:rPr>
        <w:t>here was no room for dispute or argument.</w:t>
      </w:r>
    </w:p>
    <w:p w14:paraId="79C73EB4" w14:textId="6BBD7ED7" w:rsidR="003E36F2" w:rsidRDefault="003E36F2" w:rsidP="007F2823">
      <w:pPr>
        <w:pStyle w:val="NoSpacing"/>
        <w:jc w:val="both"/>
        <w:rPr>
          <w:rFonts w:ascii="Century Gothic" w:hAnsi="Century Gothic"/>
        </w:rPr>
      </w:pPr>
    </w:p>
    <w:p w14:paraId="5FB7FD42" w14:textId="0289A21D" w:rsidR="003E36F2" w:rsidRDefault="003E36F2" w:rsidP="007F2823">
      <w:pPr>
        <w:pStyle w:val="NoSpacing"/>
        <w:jc w:val="both"/>
        <w:rPr>
          <w:rFonts w:ascii="Century Gothic" w:hAnsi="Century Gothic"/>
        </w:rPr>
      </w:pPr>
      <w:r>
        <w:rPr>
          <w:rFonts w:ascii="Century Gothic" w:hAnsi="Century Gothic"/>
        </w:rPr>
        <w:t>Fast forward, the Difference Basis of Gross Profit</w:t>
      </w:r>
      <w:r w:rsidR="00E94FF0">
        <w:rPr>
          <w:rFonts w:ascii="Century Gothic" w:hAnsi="Century Gothic"/>
        </w:rPr>
        <w:t xml:space="preserve"> </w:t>
      </w:r>
      <w:r>
        <w:rPr>
          <w:rFonts w:ascii="Century Gothic" w:hAnsi="Century Gothic"/>
        </w:rPr>
        <w:t xml:space="preserve">operates under a different protocol </w:t>
      </w:r>
      <w:r w:rsidR="00E94FF0">
        <w:rPr>
          <w:rFonts w:ascii="Century Gothic" w:hAnsi="Century Gothic"/>
        </w:rPr>
        <w:t>by way of</w:t>
      </w:r>
      <w:r>
        <w:rPr>
          <w:rFonts w:ascii="Century Gothic" w:hAnsi="Century Gothic"/>
        </w:rPr>
        <w:t xml:space="preserve"> </w:t>
      </w:r>
      <w:r w:rsidR="001D6CE9">
        <w:rPr>
          <w:rFonts w:ascii="Century Gothic" w:hAnsi="Century Gothic"/>
        </w:rPr>
        <w:t>a</w:t>
      </w:r>
      <w:r>
        <w:rPr>
          <w:rFonts w:ascii="Century Gothic" w:hAnsi="Century Gothic"/>
        </w:rPr>
        <w:t xml:space="preserve"> formula</w:t>
      </w:r>
      <w:r w:rsidR="00E94FF0">
        <w:rPr>
          <w:rFonts w:ascii="Century Gothic" w:hAnsi="Century Gothic"/>
        </w:rPr>
        <w:t xml:space="preserve"> simplified</w:t>
      </w:r>
      <w:r w:rsidR="006B4C60">
        <w:rPr>
          <w:rFonts w:ascii="Century Gothic" w:hAnsi="Century Gothic"/>
        </w:rPr>
        <w:t xml:space="preserve"> </w:t>
      </w:r>
      <w:r w:rsidR="00BC0D59">
        <w:rPr>
          <w:rFonts w:ascii="Century Gothic" w:hAnsi="Century Gothic"/>
        </w:rPr>
        <w:t xml:space="preserve">Illustration </w:t>
      </w:r>
      <w:r w:rsidR="007D53A4">
        <w:rPr>
          <w:rFonts w:ascii="Century Gothic" w:hAnsi="Century Gothic"/>
        </w:rPr>
        <w:t>7</w:t>
      </w:r>
      <w:r w:rsidR="00BC0D59">
        <w:rPr>
          <w:rFonts w:ascii="Century Gothic" w:hAnsi="Century Gothic"/>
        </w:rPr>
        <w:t xml:space="preserve"> </w:t>
      </w:r>
      <w:r>
        <w:rPr>
          <w:rFonts w:ascii="Century Gothic" w:hAnsi="Century Gothic"/>
        </w:rPr>
        <w:t>below:</w:t>
      </w:r>
    </w:p>
    <w:p w14:paraId="636A8193" w14:textId="77777777" w:rsidR="00955370" w:rsidRDefault="00955370" w:rsidP="007F2823">
      <w:pPr>
        <w:pStyle w:val="NoSpacing"/>
        <w:jc w:val="both"/>
        <w:rPr>
          <w:rFonts w:ascii="Century Gothic" w:hAnsi="Century Gothic"/>
          <w:b/>
          <w:u w:val="single"/>
        </w:rPr>
      </w:pPr>
    </w:p>
    <w:p w14:paraId="7A3B281E" w14:textId="5254545E" w:rsidR="003E36F2" w:rsidRPr="006B4C60" w:rsidRDefault="006B4C60" w:rsidP="007F2823">
      <w:pPr>
        <w:pStyle w:val="NoSpacing"/>
        <w:jc w:val="both"/>
        <w:rPr>
          <w:rFonts w:ascii="Century Gothic" w:hAnsi="Century Gothic"/>
          <w:b/>
          <w:u w:val="single"/>
        </w:rPr>
      </w:pPr>
      <w:r w:rsidRPr="006B4C60">
        <w:rPr>
          <w:rFonts w:ascii="Century Gothic" w:hAnsi="Century Gothic"/>
          <w:b/>
          <w:u w:val="single"/>
        </w:rPr>
        <w:t xml:space="preserve">Illustration </w:t>
      </w:r>
      <w:r w:rsidR="00814336">
        <w:rPr>
          <w:rFonts w:ascii="Century Gothic" w:hAnsi="Century Gothic"/>
          <w:b/>
          <w:u w:val="single"/>
        </w:rPr>
        <w:t>7</w:t>
      </w:r>
    </w:p>
    <w:p w14:paraId="2A9F1E82" w14:textId="77777777" w:rsidR="006B4C60" w:rsidRDefault="006B4C60" w:rsidP="007F2823">
      <w:pPr>
        <w:pStyle w:val="NoSpacing"/>
        <w:jc w:val="both"/>
        <w:rPr>
          <w:rFonts w:ascii="Century Gothic" w:hAnsi="Century Gothic"/>
        </w:rPr>
      </w:pPr>
    </w:p>
    <w:p w14:paraId="05F5858F" w14:textId="72240B35" w:rsidR="003E36F2" w:rsidRDefault="003E36F2" w:rsidP="007F2823">
      <w:pPr>
        <w:pStyle w:val="NoSpacing"/>
        <w:jc w:val="both"/>
        <w:rPr>
          <w:rFonts w:ascii="Century Gothic" w:hAnsi="Century Gothic"/>
        </w:rPr>
      </w:pPr>
      <w:r>
        <w:rPr>
          <w:rFonts w:ascii="Century Gothic" w:hAnsi="Century Gothic"/>
        </w:rPr>
        <w:t xml:space="preserve">Turnover                                                 </w:t>
      </w:r>
      <w:r w:rsidR="000473F9">
        <w:rPr>
          <w:rFonts w:ascii="Century Gothic" w:hAnsi="Century Gothic"/>
        </w:rPr>
        <w:t xml:space="preserve">$   </w:t>
      </w:r>
      <w:r>
        <w:rPr>
          <w:rFonts w:ascii="Century Gothic" w:hAnsi="Century Gothic"/>
        </w:rPr>
        <w:t>x</w:t>
      </w:r>
      <w:r w:rsidR="00D55974">
        <w:rPr>
          <w:rFonts w:ascii="Century Gothic" w:hAnsi="Century Gothic"/>
        </w:rPr>
        <w:t>x,</w:t>
      </w:r>
      <w:r>
        <w:rPr>
          <w:rFonts w:ascii="Century Gothic" w:hAnsi="Century Gothic"/>
        </w:rPr>
        <w:t>xxx</w:t>
      </w:r>
      <w:r w:rsidR="00D55974">
        <w:rPr>
          <w:rFonts w:ascii="Century Gothic" w:hAnsi="Century Gothic"/>
        </w:rPr>
        <w:t>,</w:t>
      </w:r>
      <w:r>
        <w:rPr>
          <w:rFonts w:ascii="Century Gothic" w:hAnsi="Century Gothic"/>
        </w:rPr>
        <w:t>xxx</w:t>
      </w:r>
    </w:p>
    <w:p w14:paraId="79F3A741" w14:textId="26D649A5" w:rsidR="003E36F2" w:rsidRDefault="003E36F2" w:rsidP="007F2823">
      <w:pPr>
        <w:pStyle w:val="NoSpacing"/>
        <w:jc w:val="both"/>
        <w:rPr>
          <w:rFonts w:ascii="Century Gothic" w:hAnsi="Century Gothic"/>
        </w:rPr>
      </w:pPr>
      <w:r>
        <w:rPr>
          <w:rFonts w:ascii="Century Gothic" w:hAnsi="Century Gothic"/>
        </w:rPr>
        <w:t xml:space="preserve">Closing stock                            </w:t>
      </w:r>
      <w:r w:rsidRPr="003E36F2">
        <w:rPr>
          <w:rFonts w:ascii="Century Gothic" w:hAnsi="Century Gothic"/>
        </w:rPr>
        <w:t xml:space="preserve">                 </w:t>
      </w:r>
      <w:r w:rsidRPr="00D55974">
        <w:rPr>
          <w:rFonts w:ascii="Century Gothic" w:hAnsi="Century Gothic"/>
          <w:u w:val="single"/>
        </w:rPr>
        <w:t xml:space="preserve"> </w:t>
      </w:r>
      <w:r w:rsidR="00D55974" w:rsidRPr="00D55974">
        <w:rPr>
          <w:rFonts w:ascii="Century Gothic" w:hAnsi="Century Gothic"/>
          <w:u w:val="single"/>
        </w:rPr>
        <w:t xml:space="preserve"> </w:t>
      </w:r>
      <w:r w:rsidRPr="00D55974">
        <w:rPr>
          <w:rFonts w:ascii="Century Gothic" w:hAnsi="Century Gothic"/>
          <w:u w:val="single"/>
        </w:rPr>
        <w:t xml:space="preserve"> </w:t>
      </w:r>
      <w:r w:rsidR="00D55974">
        <w:rPr>
          <w:rFonts w:ascii="Century Gothic" w:hAnsi="Century Gothic"/>
          <w:u w:val="single"/>
        </w:rPr>
        <w:t xml:space="preserve"> </w:t>
      </w:r>
      <w:r w:rsidRPr="003E36F2">
        <w:rPr>
          <w:rFonts w:ascii="Century Gothic" w:hAnsi="Century Gothic"/>
          <w:u w:val="single"/>
        </w:rPr>
        <w:t>xxx</w:t>
      </w:r>
      <w:r w:rsidR="00D55974">
        <w:rPr>
          <w:rFonts w:ascii="Century Gothic" w:hAnsi="Century Gothic"/>
          <w:u w:val="single"/>
        </w:rPr>
        <w:t>,</w:t>
      </w:r>
      <w:r w:rsidRPr="003E36F2">
        <w:rPr>
          <w:rFonts w:ascii="Century Gothic" w:hAnsi="Century Gothic"/>
          <w:u w:val="single"/>
        </w:rPr>
        <w:t>xxxx</w:t>
      </w:r>
    </w:p>
    <w:p w14:paraId="0CA31C6F" w14:textId="1629CC3F" w:rsidR="003E36F2" w:rsidRDefault="003E36F2" w:rsidP="007F2823">
      <w:pPr>
        <w:pStyle w:val="NoSpacing"/>
        <w:jc w:val="both"/>
        <w:rPr>
          <w:rFonts w:ascii="Century Gothic" w:hAnsi="Century Gothic"/>
        </w:rPr>
      </w:pPr>
      <w:r>
        <w:rPr>
          <w:rFonts w:ascii="Century Gothic" w:hAnsi="Century Gothic"/>
        </w:rPr>
        <w:t xml:space="preserve">                                                                </w:t>
      </w:r>
      <w:r w:rsidR="000473F9">
        <w:rPr>
          <w:rFonts w:ascii="Century Gothic" w:hAnsi="Century Gothic"/>
        </w:rPr>
        <w:t xml:space="preserve">$   </w:t>
      </w:r>
      <w:r w:rsidR="00D55974">
        <w:rPr>
          <w:rFonts w:ascii="Century Gothic" w:hAnsi="Century Gothic"/>
        </w:rPr>
        <w:t>x</w:t>
      </w:r>
      <w:r>
        <w:rPr>
          <w:rFonts w:ascii="Century Gothic" w:hAnsi="Century Gothic"/>
        </w:rPr>
        <w:t>x</w:t>
      </w:r>
      <w:r w:rsidR="00D55974">
        <w:rPr>
          <w:rFonts w:ascii="Century Gothic" w:hAnsi="Century Gothic"/>
        </w:rPr>
        <w:t>,</w:t>
      </w:r>
      <w:r>
        <w:rPr>
          <w:rFonts w:ascii="Century Gothic" w:hAnsi="Century Gothic"/>
        </w:rPr>
        <w:t>xxx</w:t>
      </w:r>
      <w:r w:rsidR="00D55974">
        <w:rPr>
          <w:rFonts w:ascii="Century Gothic" w:hAnsi="Century Gothic"/>
        </w:rPr>
        <w:t>,</w:t>
      </w:r>
      <w:r>
        <w:rPr>
          <w:rFonts w:ascii="Century Gothic" w:hAnsi="Century Gothic"/>
        </w:rPr>
        <w:t>xxx</w:t>
      </w:r>
    </w:p>
    <w:p w14:paraId="4C06E804" w14:textId="77777777" w:rsidR="003E36F2" w:rsidRPr="00F353F5" w:rsidRDefault="003E36F2" w:rsidP="007F2823">
      <w:pPr>
        <w:pStyle w:val="NoSpacing"/>
        <w:jc w:val="both"/>
        <w:rPr>
          <w:rFonts w:ascii="Century Gothic" w:hAnsi="Century Gothic"/>
          <w:u w:val="single"/>
        </w:rPr>
      </w:pPr>
      <w:r w:rsidRPr="00F353F5">
        <w:rPr>
          <w:rFonts w:ascii="Century Gothic" w:hAnsi="Century Gothic"/>
          <w:u w:val="single"/>
        </w:rPr>
        <w:t>Less</w:t>
      </w:r>
    </w:p>
    <w:p w14:paraId="008A9105" w14:textId="4850DC7E" w:rsidR="003E36F2" w:rsidRDefault="00623211" w:rsidP="007F2823">
      <w:pPr>
        <w:pStyle w:val="NoSpacing"/>
        <w:jc w:val="both"/>
        <w:rPr>
          <w:rFonts w:ascii="Century Gothic" w:hAnsi="Century Gothic"/>
        </w:rPr>
      </w:pPr>
      <w:r>
        <w:rPr>
          <w:rFonts w:ascii="Century Gothic" w:hAnsi="Century Gothic"/>
        </w:rPr>
        <w:t>Opening</w:t>
      </w:r>
      <w:r w:rsidR="003E36F2">
        <w:rPr>
          <w:rFonts w:ascii="Century Gothic" w:hAnsi="Century Gothic"/>
        </w:rPr>
        <w:t xml:space="preserve"> stock                        </w:t>
      </w:r>
      <w:r>
        <w:rPr>
          <w:rFonts w:ascii="Century Gothic" w:hAnsi="Century Gothic"/>
        </w:rPr>
        <w:t xml:space="preserve"> </w:t>
      </w:r>
      <w:r w:rsidR="003E36F2">
        <w:rPr>
          <w:rFonts w:ascii="Century Gothic" w:hAnsi="Century Gothic"/>
        </w:rPr>
        <w:t>xxx</w:t>
      </w:r>
      <w:r w:rsidR="00D55974">
        <w:rPr>
          <w:rFonts w:ascii="Century Gothic" w:hAnsi="Century Gothic"/>
        </w:rPr>
        <w:t>,</w:t>
      </w:r>
      <w:r w:rsidR="003E36F2">
        <w:rPr>
          <w:rFonts w:ascii="Century Gothic" w:hAnsi="Century Gothic"/>
        </w:rPr>
        <w:t>xxx</w:t>
      </w:r>
    </w:p>
    <w:p w14:paraId="6DE5E9E2" w14:textId="5ABD58B1" w:rsidR="003E36F2" w:rsidRDefault="003E36F2" w:rsidP="007F2823">
      <w:pPr>
        <w:pStyle w:val="NoSpacing"/>
        <w:jc w:val="both"/>
        <w:rPr>
          <w:rFonts w:ascii="Century Gothic" w:hAnsi="Century Gothic"/>
        </w:rPr>
      </w:pPr>
      <w:r>
        <w:rPr>
          <w:rFonts w:ascii="Century Gothic" w:hAnsi="Century Gothic"/>
        </w:rPr>
        <w:t>Purchases                              x</w:t>
      </w:r>
      <w:r w:rsidR="00D55974">
        <w:rPr>
          <w:rFonts w:ascii="Century Gothic" w:hAnsi="Century Gothic"/>
        </w:rPr>
        <w:t>,</w:t>
      </w:r>
      <w:r>
        <w:rPr>
          <w:rFonts w:ascii="Century Gothic" w:hAnsi="Century Gothic"/>
        </w:rPr>
        <w:t>xxx</w:t>
      </w:r>
      <w:r w:rsidR="00D55974">
        <w:rPr>
          <w:rFonts w:ascii="Century Gothic" w:hAnsi="Century Gothic"/>
        </w:rPr>
        <w:t>,</w:t>
      </w:r>
      <w:r>
        <w:rPr>
          <w:rFonts w:ascii="Century Gothic" w:hAnsi="Century Gothic"/>
        </w:rPr>
        <w:t>xxx</w:t>
      </w:r>
    </w:p>
    <w:p w14:paraId="6498B577" w14:textId="5DF1106B" w:rsidR="003E36F2" w:rsidRDefault="003E36F2" w:rsidP="007F2823">
      <w:pPr>
        <w:pStyle w:val="NoSpacing"/>
        <w:jc w:val="both"/>
        <w:rPr>
          <w:rFonts w:ascii="Century Gothic" w:hAnsi="Century Gothic"/>
          <w:u w:val="single"/>
        </w:rPr>
      </w:pPr>
      <w:r>
        <w:rPr>
          <w:rFonts w:ascii="Century Gothic" w:hAnsi="Century Gothic"/>
        </w:rPr>
        <w:t>Specified Working Expenses  xxx</w:t>
      </w:r>
      <w:r w:rsidR="00D55974">
        <w:rPr>
          <w:rFonts w:ascii="Century Gothic" w:hAnsi="Century Gothic"/>
        </w:rPr>
        <w:t>,</w:t>
      </w:r>
      <w:r>
        <w:rPr>
          <w:rFonts w:ascii="Century Gothic" w:hAnsi="Century Gothic"/>
        </w:rPr>
        <w:t xml:space="preserve">xxx         </w:t>
      </w:r>
      <w:r w:rsidRPr="003E36F2">
        <w:rPr>
          <w:rFonts w:ascii="Century Gothic" w:hAnsi="Century Gothic"/>
          <w:u w:val="single"/>
        </w:rPr>
        <w:t>x</w:t>
      </w:r>
      <w:r w:rsidR="00D55974">
        <w:rPr>
          <w:rFonts w:ascii="Century Gothic" w:hAnsi="Century Gothic"/>
          <w:u w:val="single"/>
        </w:rPr>
        <w:t>,</w:t>
      </w:r>
      <w:r w:rsidRPr="003E36F2">
        <w:rPr>
          <w:rFonts w:ascii="Century Gothic" w:hAnsi="Century Gothic"/>
          <w:u w:val="single"/>
        </w:rPr>
        <w:t>xxx</w:t>
      </w:r>
      <w:r w:rsidR="00D55974">
        <w:rPr>
          <w:rFonts w:ascii="Century Gothic" w:hAnsi="Century Gothic"/>
          <w:u w:val="single"/>
        </w:rPr>
        <w:t>,</w:t>
      </w:r>
      <w:r w:rsidRPr="003E36F2">
        <w:rPr>
          <w:rFonts w:ascii="Century Gothic" w:hAnsi="Century Gothic"/>
          <w:u w:val="single"/>
        </w:rPr>
        <w:t>xxx</w:t>
      </w:r>
    </w:p>
    <w:p w14:paraId="089BAC10" w14:textId="4C53F3D1" w:rsidR="003E36F2" w:rsidRPr="00F353F5" w:rsidRDefault="003E36F2" w:rsidP="007F2823">
      <w:pPr>
        <w:pStyle w:val="NoSpacing"/>
        <w:jc w:val="both"/>
        <w:rPr>
          <w:rFonts w:ascii="Century Gothic" w:hAnsi="Century Gothic"/>
        </w:rPr>
      </w:pPr>
      <w:r w:rsidRPr="00F353F5">
        <w:rPr>
          <w:rFonts w:ascii="Century Gothic" w:hAnsi="Century Gothic"/>
        </w:rPr>
        <w:t>G</w:t>
      </w:r>
      <w:r w:rsidR="00F353F5" w:rsidRPr="00F353F5">
        <w:rPr>
          <w:rFonts w:ascii="Century Gothic" w:hAnsi="Century Gothic"/>
        </w:rPr>
        <w:t xml:space="preserve">ROSS </w:t>
      </w:r>
      <w:r w:rsidRPr="00F353F5">
        <w:rPr>
          <w:rFonts w:ascii="Century Gothic" w:hAnsi="Century Gothic"/>
        </w:rPr>
        <w:t>PROFIT AS DEFINED</w:t>
      </w:r>
      <w:r w:rsidR="00F353F5">
        <w:rPr>
          <w:rFonts w:ascii="Century Gothic" w:hAnsi="Century Gothic"/>
        </w:rPr>
        <w:t xml:space="preserve">                  </w:t>
      </w:r>
      <w:r w:rsidR="000473F9">
        <w:rPr>
          <w:rFonts w:ascii="Century Gothic" w:hAnsi="Century Gothic"/>
        </w:rPr>
        <w:t xml:space="preserve">$   </w:t>
      </w:r>
      <w:r w:rsidR="00D55974">
        <w:rPr>
          <w:rFonts w:ascii="Century Gothic" w:hAnsi="Century Gothic"/>
        </w:rPr>
        <w:t xml:space="preserve">  </w:t>
      </w:r>
      <w:r w:rsidR="00F353F5" w:rsidRPr="00F353F5">
        <w:rPr>
          <w:rFonts w:ascii="Century Gothic" w:hAnsi="Century Gothic"/>
          <w:u w:val="single"/>
        </w:rPr>
        <w:t>x</w:t>
      </w:r>
      <w:r w:rsidR="00D55974">
        <w:rPr>
          <w:rFonts w:ascii="Century Gothic" w:hAnsi="Century Gothic"/>
          <w:u w:val="single"/>
        </w:rPr>
        <w:t>,</w:t>
      </w:r>
      <w:r w:rsidR="00F353F5" w:rsidRPr="00F353F5">
        <w:rPr>
          <w:rFonts w:ascii="Century Gothic" w:hAnsi="Century Gothic"/>
          <w:u w:val="single"/>
        </w:rPr>
        <w:t>xxx</w:t>
      </w:r>
      <w:r w:rsidR="00D55974">
        <w:rPr>
          <w:rFonts w:ascii="Century Gothic" w:hAnsi="Century Gothic"/>
          <w:u w:val="single"/>
        </w:rPr>
        <w:t>,</w:t>
      </w:r>
      <w:r w:rsidR="00F353F5" w:rsidRPr="00F353F5">
        <w:rPr>
          <w:rFonts w:ascii="Century Gothic" w:hAnsi="Century Gothic"/>
          <w:u w:val="single"/>
        </w:rPr>
        <w:t>xxx</w:t>
      </w:r>
    </w:p>
    <w:p w14:paraId="486E2BEF" w14:textId="77777777" w:rsidR="003E36F2" w:rsidRDefault="003E36F2" w:rsidP="007F2823">
      <w:pPr>
        <w:pStyle w:val="NoSpacing"/>
        <w:jc w:val="both"/>
        <w:rPr>
          <w:rFonts w:ascii="Century Gothic" w:hAnsi="Century Gothic"/>
        </w:rPr>
      </w:pPr>
    </w:p>
    <w:p w14:paraId="0D6336DD" w14:textId="50BF3780" w:rsidR="00FE097F" w:rsidRDefault="00F353F5" w:rsidP="007F2823">
      <w:pPr>
        <w:pStyle w:val="NoSpacing"/>
        <w:jc w:val="both"/>
        <w:rPr>
          <w:rFonts w:ascii="Century Gothic" w:hAnsi="Century Gothic"/>
        </w:rPr>
      </w:pPr>
      <w:r>
        <w:rPr>
          <w:rFonts w:ascii="Century Gothic" w:hAnsi="Century Gothic"/>
        </w:rPr>
        <w:lastRenderedPageBreak/>
        <w:t xml:space="preserve">The words ‘Gross Profit as defined’ is to distinguish it from the </w:t>
      </w:r>
      <w:r w:rsidR="006A501E">
        <w:rPr>
          <w:rFonts w:ascii="Century Gothic" w:hAnsi="Century Gothic"/>
        </w:rPr>
        <w:t xml:space="preserve">standard </w:t>
      </w:r>
      <w:r>
        <w:rPr>
          <w:rFonts w:ascii="Century Gothic" w:hAnsi="Century Gothic"/>
        </w:rPr>
        <w:t xml:space="preserve">accounting </w:t>
      </w:r>
      <w:r w:rsidR="00970EEB">
        <w:rPr>
          <w:rFonts w:ascii="Century Gothic" w:hAnsi="Century Gothic"/>
        </w:rPr>
        <w:t xml:space="preserve">statement </w:t>
      </w:r>
      <w:r>
        <w:rPr>
          <w:rFonts w:ascii="Century Gothic" w:hAnsi="Century Gothic"/>
        </w:rPr>
        <w:t xml:space="preserve">Gross Profit which followed a different </w:t>
      </w:r>
      <w:r w:rsidR="001D6CE9">
        <w:rPr>
          <w:rFonts w:ascii="Century Gothic" w:hAnsi="Century Gothic"/>
        </w:rPr>
        <w:t>regime</w:t>
      </w:r>
      <w:r>
        <w:rPr>
          <w:rFonts w:ascii="Century Gothic" w:hAnsi="Century Gothic"/>
        </w:rPr>
        <w:t>.</w:t>
      </w:r>
    </w:p>
    <w:p w14:paraId="77762CC1" w14:textId="77777777" w:rsidR="00595A24" w:rsidRDefault="00595A24" w:rsidP="007F2823">
      <w:pPr>
        <w:pStyle w:val="NoSpacing"/>
        <w:jc w:val="both"/>
        <w:rPr>
          <w:rFonts w:ascii="Century Gothic" w:hAnsi="Century Gothic"/>
        </w:rPr>
      </w:pPr>
    </w:p>
    <w:p w14:paraId="433C4B38" w14:textId="0F7786AC" w:rsidR="00E26115" w:rsidRDefault="00E26115" w:rsidP="007F2823">
      <w:pPr>
        <w:pStyle w:val="NoSpacing"/>
        <w:jc w:val="both"/>
        <w:rPr>
          <w:rFonts w:ascii="Century Gothic" w:hAnsi="Century Gothic"/>
        </w:rPr>
      </w:pPr>
      <w:r>
        <w:rPr>
          <w:rFonts w:ascii="Century Gothic" w:hAnsi="Century Gothic"/>
        </w:rPr>
        <w:t>The Difference Basis “obviates a definition of net profit, and, in consequence, emphasizes that the profits Insurance is concerned with the gross profit as a whole and not with the individual standing charges or net profit separately. Thus, it deals with an exceptional charge automatically, whereas the addition basis always leads to difficulty in respect of such items”</w:t>
      </w:r>
      <w:r>
        <w:rPr>
          <w:rStyle w:val="FootnoteReference"/>
          <w:rFonts w:ascii="Century Gothic" w:hAnsi="Century Gothic"/>
        </w:rPr>
        <w:footnoteReference w:id="51"/>
      </w:r>
    </w:p>
    <w:p w14:paraId="758055BC" w14:textId="57661404" w:rsidR="00AE2560" w:rsidRDefault="00AE2560" w:rsidP="00862947">
      <w:pPr>
        <w:pStyle w:val="NoSpacing"/>
        <w:rPr>
          <w:rFonts w:ascii="Century Gothic" w:hAnsi="Century Gothic"/>
        </w:rPr>
      </w:pPr>
    </w:p>
    <w:p w14:paraId="021ACE13" w14:textId="001DAEFD" w:rsidR="00AE2560" w:rsidRDefault="00C67D77" w:rsidP="001C110B">
      <w:pPr>
        <w:pStyle w:val="NoSpacing"/>
        <w:jc w:val="both"/>
        <w:rPr>
          <w:rFonts w:ascii="Century Gothic" w:hAnsi="Century Gothic"/>
        </w:rPr>
      </w:pPr>
      <w:r>
        <w:rPr>
          <w:rFonts w:ascii="Century Gothic" w:hAnsi="Century Gothic"/>
        </w:rPr>
        <w:t xml:space="preserve">The Gross Profit Difference Basis </w:t>
      </w:r>
      <w:r w:rsidR="00286FA7">
        <w:rPr>
          <w:rFonts w:ascii="Century Gothic" w:hAnsi="Century Gothic"/>
        </w:rPr>
        <w:t xml:space="preserve">wording </w:t>
      </w:r>
      <w:r>
        <w:rPr>
          <w:rFonts w:ascii="Century Gothic" w:hAnsi="Century Gothic"/>
        </w:rPr>
        <w:t xml:space="preserve">is subject to the following </w:t>
      </w:r>
      <w:r w:rsidR="00D55974">
        <w:rPr>
          <w:rFonts w:ascii="Century Gothic" w:hAnsi="Century Gothic"/>
        </w:rPr>
        <w:t>provisions</w:t>
      </w:r>
      <w:r>
        <w:rPr>
          <w:rStyle w:val="FootnoteReference"/>
          <w:rFonts w:ascii="Century Gothic" w:hAnsi="Century Gothic"/>
        </w:rPr>
        <w:footnoteReference w:id="52"/>
      </w:r>
    </w:p>
    <w:p w14:paraId="5C38C831" w14:textId="0964D60C" w:rsidR="00C67D77" w:rsidRDefault="00C67D77" w:rsidP="00BD720A">
      <w:pPr>
        <w:pStyle w:val="NoSpacing"/>
        <w:jc w:val="both"/>
        <w:rPr>
          <w:rFonts w:ascii="Century Gothic" w:hAnsi="Century Gothic"/>
        </w:rPr>
      </w:pPr>
    </w:p>
    <w:p w14:paraId="6110B423" w14:textId="349C6E61" w:rsidR="00C67D77" w:rsidRDefault="00C67D77" w:rsidP="00BD720A">
      <w:pPr>
        <w:pStyle w:val="NoSpacing"/>
        <w:jc w:val="both"/>
        <w:rPr>
          <w:rFonts w:ascii="Century Gothic" w:hAnsi="Century Gothic"/>
        </w:rPr>
      </w:pPr>
      <w:r>
        <w:rPr>
          <w:rFonts w:ascii="Century Gothic" w:hAnsi="Century Gothic"/>
        </w:rPr>
        <w:t xml:space="preserve">      N.B. 1</w:t>
      </w:r>
    </w:p>
    <w:p w14:paraId="5918E942" w14:textId="77777777" w:rsidR="00D55974" w:rsidRDefault="00C67D77" w:rsidP="00BD720A">
      <w:pPr>
        <w:pStyle w:val="NoSpacing"/>
        <w:jc w:val="both"/>
        <w:rPr>
          <w:rFonts w:ascii="Century Gothic" w:hAnsi="Century Gothic"/>
        </w:rPr>
      </w:pPr>
      <w:r>
        <w:rPr>
          <w:rFonts w:ascii="Century Gothic" w:hAnsi="Century Gothic"/>
        </w:rPr>
        <w:t xml:space="preserve">      The amount of the Opening and Closing Stocks </w:t>
      </w:r>
      <w:r w:rsidR="00D55974">
        <w:rPr>
          <w:rFonts w:ascii="Century Gothic" w:hAnsi="Century Gothic"/>
        </w:rPr>
        <w:t>shall be arrived at in accordance</w:t>
      </w:r>
    </w:p>
    <w:p w14:paraId="0FF4E366" w14:textId="77777777" w:rsidR="00D55974" w:rsidRDefault="00D55974" w:rsidP="00BD720A">
      <w:pPr>
        <w:pStyle w:val="NoSpacing"/>
        <w:jc w:val="both"/>
        <w:rPr>
          <w:rFonts w:ascii="Century Gothic" w:hAnsi="Century Gothic"/>
        </w:rPr>
      </w:pPr>
      <w:r>
        <w:rPr>
          <w:rFonts w:ascii="Century Gothic" w:hAnsi="Century Gothic"/>
        </w:rPr>
        <w:t xml:space="preserve">      with the Insured’s normal accountancy methods, due provision being made for</w:t>
      </w:r>
    </w:p>
    <w:p w14:paraId="33327BA3" w14:textId="0245A8D5" w:rsidR="00C67D77" w:rsidRDefault="00D55974" w:rsidP="00BD720A">
      <w:pPr>
        <w:pStyle w:val="NoSpacing"/>
        <w:jc w:val="both"/>
        <w:rPr>
          <w:rFonts w:ascii="Century Gothic" w:hAnsi="Century Gothic"/>
        </w:rPr>
      </w:pPr>
      <w:r>
        <w:rPr>
          <w:rFonts w:ascii="Century Gothic" w:hAnsi="Century Gothic"/>
        </w:rPr>
        <w:t xml:space="preserve">      depreciation.</w:t>
      </w:r>
    </w:p>
    <w:p w14:paraId="1D462982" w14:textId="1D9A0ABA" w:rsidR="00D016F3" w:rsidRDefault="00C67D77" w:rsidP="00BD720A">
      <w:pPr>
        <w:pStyle w:val="NoSpacing"/>
        <w:jc w:val="both"/>
        <w:rPr>
          <w:rFonts w:ascii="Century Gothic" w:hAnsi="Century Gothic"/>
        </w:rPr>
      </w:pPr>
      <w:r>
        <w:rPr>
          <w:rFonts w:ascii="Century Gothic" w:hAnsi="Century Gothic"/>
        </w:rPr>
        <w:t xml:space="preserve">      N.B. 2</w:t>
      </w:r>
    </w:p>
    <w:p w14:paraId="0F758CE8" w14:textId="77777777" w:rsidR="00D55974" w:rsidRDefault="00D55974" w:rsidP="00BD720A">
      <w:pPr>
        <w:pStyle w:val="NoSpacing"/>
        <w:jc w:val="both"/>
        <w:rPr>
          <w:rFonts w:ascii="Century Gothic" w:hAnsi="Century Gothic"/>
        </w:rPr>
      </w:pPr>
      <w:r>
        <w:rPr>
          <w:rFonts w:ascii="Century Gothic" w:hAnsi="Century Gothic"/>
        </w:rPr>
        <w:t xml:space="preserve">      The words and expressions used in this Definitions shall have the meaning usually</w:t>
      </w:r>
    </w:p>
    <w:p w14:paraId="76CBC4AE" w14:textId="77777777" w:rsidR="00D55974" w:rsidRDefault="00D55974" w:rsidP="00BD720A">
      <w:pPr>
        <w:pStyle w:val="NoSpacing"/>
        <w:jc w:val="both"/>
        <w:rPr>
          <w:rFonts w:ascii="Century Gothic" w:hAnsi="Century Gothic"/>
        </w:rPr>
      </w:pPr>
      <w:r>
        <w:rPr>
          <w:rFonts w:ascii="Century Gothic" w:hAnsi="Century Gothic"/>
        </w:rPr>
        <w:t xml:space="preserve">      attached to them in the books and accounts of the Insured unless otherwise</w:t>
      </w:r>
    </w:p>
    <w:p w14:paraId="399A4468" w14:textId="1EA18821" w:rsidR="00D55974" w:rsidRDefault="00D55974" w:rsidP="00BD720A">
      <w:pPr>
        <w:pStyle w:val="NoSpacing"/>
        <w:jc w:val="both"/>
        <w:rPr>
          <w:rFonts w:ascii="Century Gothic" w:hAnsi="Century Gothic"/>
        </w:rPr>
      </w:pPr>
      <w:r>
        <w:rPr>
          <w:rFonts w:ascii="Century Gothic" w:hAnsi="Century Gothic"/>
        </w:rPr>
        <w:t xml:space="preserve">      defined in this specification.</w:t>
      </w:r>
    </w:p>
    <w:p w14:paraId="1D1E8585" w14:textId="77777777" w:rsidR="00D016F3" w:rsidRDefault="00D016F3" w:rsidP="00862947">
      <w:pPr>
        <w:pStyle w:val="NoSpacing"/>
        <w:rPr>
          <w:rFonts w:ascii="Century Gothic" w:hAnsi="Century Gothic"/>
        </w:rPr>
      </w:pPr>
    </w:p>
    <w:p w14:paraId="67B313C5" w14:textId="77777777" w:rsidR="006A501E" w:rsidRDefault="00286FA7" w:rsidP="00BD720A">
      <w:pPr>
        <w:pStyle w:val="NoSpacing"/>
        <w:jc w:val="both"/>
        <w:rPr>
          <w:rFonts w:ascii="Century Gothic" w:hAnsi="Century Gothic"/>
        </w:rPr>
      </w:pPr>
      <w:r>
        <w:rPr>
          <w:rFonts w:ascii="Century Gothic" w:hAnsi="Century Gothic"/>
        </w:rPr>
        <w:t xml:space="preserve">In the matter of normal accountancy methods, (N.B. 1) due provision being </w:t>
      </w:r>
      <w:r w:rsidR="006E7A58">
        <w:rPr>
          <w:rFonts w:ascii="Century Gothic" w:hAnsi="Century Gothic"/>
        </w:rPr>
        <w:t xml:space="preserve">made </w:t>
      </w:r>
      <w:r>
        <w:rPr>
          <w:rFonts w:ascii="Century Gothic" w:hAnsi="Century Gothic"/>
        </w:rPr>
        <w:t>for depreciation refers to the provisions of ITA 1967, vis-à-vis, Capital Allowance.</w:t>
      </w:r>
      <w:r w:rsidR="00595A24">
        <w:rPr>
          <w:rFonts w:ascii="Century Gothic" w:hAnsi="Century Gothic"/>
        </w:rPr>
        <w:t xml:space="preserve"> </w:t>
      </w:r>
    </w:p>
    <w:p w14:paraId="1252A8E9" w14:textId="77777777" w:rsidR="006A501E" w:rsidRDefault="006A501E" w:rsidP="00862947">
      <w:pPr>
        <w:pStyle w:val="NoSpacing"/>
        <w:rPr>
          <w:rFonts w:ascii="Century Gothic" w:hAnsi="Century Gothic"/>
        </w:rPr>
      </w:pPr>
    </w:p>
    <w:p w14:paraId="7AE9C683" w14:textId="780B2E33" w:rsidR="009F1CB7" w:rsidRDefault="00595A24" w:rsidP="00BD720A">
      <w:pPr>
        <w:pStyle w:val="NoSpacing"/>
        <w:jc w:val="both"/>
        <w:rPr>
          <w:rFonts w:ascii="Century Gothic" w:hAnsi="Century Gothic"/>
        </w:rPr>
      </w:pPr>
      <w:r>
        <w:rPr>
          <w:rFonts w:ascii="Century Gothic" w:hAnsi="Century Gothic"/>
        </w:rPr>
        <w:t xml:space="preserve">It is trite that </w:t>
      </w:r>
      <w:r w:rsidR="000C155D">
        <w:rPr>
          <w:rFonts w:ascii="Century Gothic" w:hAnsi="Century Gothic"/>
        </w:rPr>
        <w:t>normal accountancy methods</w:t>
      </w:r>
      <w:r>
        <w:rPr>
          <w:rFonts w:ascii="Century Gothic" w:hAnsi="Century Gothic"/>
        </w:rPr>
        <w:t xml:space="preserve"> would have to be </w:t>
      </w:r>
      <w:r w:rsidR="000473F9">
        <w:rPr>
          <w:rFonts w:ascii="Century Gothic" w:hAnsi="Century Gothic"/>
        </w:rPr>
        <w:t xml:space="preserve">in </w:t>
      </w:r>
      <w:r>
        <w:rPr>
          <w:rFonts w:ascii="Century Gothic" w:hAnsi="Century Gothic"/>
        </w:rPr>
        <w:t>consonant with the ITA 1967 which regulate</w:t>
      </w:r>
      <w:r w:rsidR="006A501E">
        <w:rPr>
          <w:rFonts w:ascii="Century Gothic" w:hAnsi="Century Gothic"/>
        </w:rPr>
        <w:t>s</w:t>
      </w:r>
      <w:r>
        <w:rPr>
          <w:rFonts w:ascii="Century Gothic" w:hAnsi="Century Gothic"/>
        </w:rPr>
        <w:t xml:space="preserve"> the insur</w:t>
      </w:r>
      <w:r w:rsidR="006A501E">
        <w:rPr>
          <w:rFonts w:ascii="Century Gothic" w:hAnsi="Century Gothic"/>
        </w:rPr>
        <w:t>e</w:t>
      </w:r>
      <w:r>
        <w:rPr>
          <w:rFonts w:ascii="Century Gothic" w:hAnsi="Century Gothic"/>
        </w:rPr>
        <w:t>d’s books and accounts</w:t>
      </w:r>
      <w:r w:rsidR="006A501E">
        <w:rPr>
          <w:rFonts w:ascii="Century Gothic" w:hAnsi="Century Gothic"/>
        </w:rPr>
        <w:t>, otherwise, such provision (N.B. 1) would be ultra vires.</w:t>
      </w:r>
    </w:p>
    <w:p w14:paraId="5622FB40" w14:textId="77777777" w:rsidR="001E7841" w:rsidRDefault="001E7841" w:rsidP="00C27032">
      <w:pPr>
        <w:pStyle w:val="NoSpacing"/>
        <w:jc w:val="both"/>
        <w:rPr>
          <w:rFonts w:ascii="Century Gothic" w:hAnsi="Century Gothic"/>
        </w:rPr>
      </w:pPr>
    </w:p>
    <w:p w14:paraId="205893E9" w14:textId="48E36192" w:rsidR="009F1CB7" w:rsidRDefault="009F1CB7" w:rsidP="00C27032">
      <w:pPr>
        <w:pStyle w:val="NoSpacing"/>
        <w:jc w:val="both"/>
        <w:rPr>
          <w:rFonts w:ascii="Century Gothic" w:hAnsi="Century Gothic"/>
        </w:rPr>
      </w:pPr>
      <w:r>
        <w:rPr>
          <w:rFonts w:ascii="Century Gothic" w:hAnsi="Century Gothic"/>
        </w:rPr>
        <w:t xml:space="preserve">As can be seen the word “Depreciation” is no longer a </w:t>
      </w:r>
      <w:r w:rsidR="006A501E">
        <w:rPr>
          <w:rFonts w:ascii="Century Gothic" w:hAnsi="Century Gothic"/>
        </w:rPr>
        <w:t xml:space="preserve">specified </w:t>
      </w:r>
      <w:r w:rsidR="00776DFD">
        <w:rPr>
          <w:rFonts w:ascii="Century Gothic" w:hAnsi="Century Gothic"/>
        </w:rPr>
        <w:t>contractual standing charge.</w:t>
      </w:r>
    </w:p>
    <w:p w14:paraId="5A87743B" w14:textId="1982D07B" w:rsidR="00776DFD" w:rsidRDefault="00776DFD" w:rsidP="00C27032">
      <w:pPr>
        <w:pStyle w:val="NoSpacing"/>
        <w:jc w:val="both"/>
        <w:rPr>
          <w:rFonts w:ascii="Century Gothic" w:hAnsi="Century Gothic"/>
        </w:rPr>
      </w:pPr>
    </w:p>
    <w:p w14:paraId="62677304" w14:textId="35B43BCB" w:rsidR="00C669B7" w:rsidRDefault="00776DFD" w:rsidP="00C27032">
      <w:pPr>
        <w:pStyle w:val="NoSpacing"/>
        <w:jc w:val="both"/>
        <w:rPr>
          <w:rFonts w:ascii="Century Gothic" w:hAnsi="Century Gothic"/>
        </w:rPr>
      </w:pPr>
      <w:r>
        <w:rPr>
          <w:rFonts w:ascii="Century Gothic" w:hAnsi="Century Gothic"/>
        </w:rPr>
        <w:t>In the Difference Basis of calculation of Gross Profit, when depreciation is not listed in the Specified Working Expenses (SWE) listing, it would automatically become inclusive in the Gross Profit by definition.</w:t>
      </w:r>
    </w:p>
    <w:p w14:paraId="251244BA" w14:textId="77777777" w:rsidR="001E7841" w:rsidRDefault="001E7841" w:rsidP="00C27032">
      <w:pPr>
        <w:pStyle w:val="NoSpacing"/>
        <w:jc w:val="both"/>
        <w:rPr>
          <w:rFonts w:ascii="Century Gothic" w:hAnsi="Century Gothic"/>
        </w:rPr>
      </w:pPr>
    </w:p>
    <w:p w14:paraId="49F38424" w14:textId="13F12482" w:rsidR="00776DFD" w:rsidRDefault="00776DFD" w:rsidP="00C27032">
      <w:pPr>
        <w:pStyle w:val="NoSpacing"/>
        <w:jc w:val="both"/>
        <w:rPr>
          <w:rFonts w:ascii="Century Gothic" w:hAnsi="Century Gothic"/>
        </w:rPr>
      </w:pPr>
      <w:r>
        <w:rPr>
          <w:rFonts w:ascii="Century Gothic" w:hAnsi="Century Gothic"/>
        </w:rPr>
        <w:t>Conversely, when depreciation is listed in the SWE, it is automatically excluded in the Gross Profit by definition.</w:t>
      </w:r>
    </w:p>
    <w:p w14:paraId="0178AD3B" w14:textId="5E669E54" w:rsidR="00776DFD" w:rsidRDefault="00776DFD" w:rsidP="00C27032">
      <w:pPr>
        <w:pStyle w:val="NoSpacing"/>
        <w:jc w:val="both"/>
        <w:rPr>
          <w:rFonts w:ascii="Century Gothic" w:hAnsi="Century Gothic"/>
        </w:rPr>
      </w:pPr>
    </w:p>
    <w:p w14:paraId="21D4F693" w14:textId="5A8166DA" w:rsidR="00C669B7" w:rsidRDefault="00C669B7" w:rsidP="00C27032">
      <w:pPr>
        <w:pStyle w:val="NoSpacing"/>
        <w:jc w:val="both"/>
        <w:rPr>
          <w:rFonts w:ascii="Century Gothic" w:hAnsi="Century Gothic"/>
        </w:rPr>
      </w:pPr>
      <w:r>
        <w:rPr>
          <w:rFonts w:ascii="Century Gothic" w:hAnsi="Century Gothic"/>
        </w:rPr>
        <w:t xml:space="preserve">A comparative study of the Gross Profit with </w:t>
      </w:r>
      <w:r w:rsidR="007D53A4">
        <w:rPr>
          <w:rFonts w:ascii="Century Gothic" w:hAnsi="Century Gothic"/>
        </w:rPr>
        <w:t xml:space="preserve">(Column I) </w:t>
      </w:r>
      <w:r>
        <w:rPr>
          <w:rFonts w:ascii="Century Gothic" w:hAnsi="Century Gothic"/>
        </w:rPr>
        <w:t>and without deprec</w:t>
      </w:r>
      <w:r w:rsidR="00970EEB">
        <w:rPr>
          <w:rFonts w:ascii="Century Gothic" w:hAnsi="Century Gothic"/>
        </w:rPr>
        <w:t>i</w:t>
      </w:r>
      <w:r>
        <w:rPr>
          <w:rFonts w:ascii="Century Gothic" w:hAnsi="Century Gothic"/>
        </w:rPr>
        <w:t>ation</w:t>
      </w:r>
      <w:r w:rsidR="007D53A4">
        <w:rPr>
          <w:rFonts w:ascii="Century Gothic" w:hAnsi="Century Gothic"/>
        </w:rPr>
        <w:t xml:space="preserve"> (Column II) </w:t>
      </w:r>
      <w:r>
        <w:rPr>
          <w:rFonts w:ascii="Century Gothic" w:hAnsi="Century Gothic"/>
        </w:rPr>
        <w:t xml:space="preserve"> is set out in the </w:t>
      </w:r>
      <w:r w:rsidR="00970EEB">
        <w:rPr>
          <w:rFonts w:ascii="Century Gothic" w:hAnsi="Century Gothic"/>
        </w:rPr>
        <w:t xml:space="preserve">box marked Illustration </w:t>
      </w:r>
      <w:r w:rsidR="00A71B83">
        <w:rPr>
          <w:rFonts w:ascii="Century Gothic" w:hAnsi="Century Gothic"/>
        </w:rPr>
        <w:t>8</w:t>
      </w:r>
      <w:r w:rsidR="00970EEB">
        <w:rPr>
          <w:rFonts w:ascii="Century Gothic" w:hAnsi="Century Gothic"/>
        </w:rPr>
        <w:t xml:space="preserve"> </w:t>
      </w:r>
      <w:r w:rsidR="00BC0D59">
        <w:rPr>
          <w:rFonts w:ascii="Century Gothic" w:hAnsi="Century Gothic"/>
        </w:rPr>
        <w:t>hereunder.</w:t>
      </w:r>
    </w:p>
    <w:p w14:paraId="68C193E7" w14:textId="6553F8D5" w:rsidR="00C669B7" w:rsidRDefault="00C669B7" w:rsidP="00C27032">
      <w:pPr>
        <w:pStyle w:val="NoSpacing"/>
        <w:jc w:val="both"/>
        <w:rPr>
          <w:rFonts w:ascii="Century Gothic" w:hAnsi="Century Gothic"/>
        </w:rPr>
      </w:pPr>
    </w:p>
    <w:p w14:paraId="349EFA5A" w14:textId="3EF21295" w:rsidR="00665595" w:rsidRDefault="00665595" w:rsidP="00665595">
      <w:pPr>
        <w:pStyle w:val="NoSpacing"/>
        <w:jc w:val="both"/>
        <w:rPr>
          <w:rFonts w:ascii="Century Gothic" w:hAnsi="Century Gothic"/>
        </w:rPr>
      </w:pPr>
      <w:r>
        <w:rPr>
          <w:rFonts w:ascii="Century Gothic" w:hAnsi="Century Gothic"/>
        </w:rPr>
        <w:t>For the sake of simplicity, the following illustration</w:t>
      </w:r>
      <w:r w:rsidR="00AA7394">
        <w:rPr>
          <w:rFonts w:ascii="Century Gothic" w:hAnsi="Century Gothic"/>
        </w:rPr>
        <w:t>,</w:t>
      </w:r>
      <w:r>
        <w:rPr>
          <w:rFonts w:ascii="Century Gothic" w:hAnsi="Century Gothic"/>
        </w:rPr>
        <w:t xml:space="preserve"> </w:t>
      </w:r>
      <w:r w:rsidR="00AA7394">
        <w:rPr>
          <w:rFonts w:ascii="Century Gothic" w:hAnsi="Century Gothic"/>
        </w:rPr>
        <w:t xml:space="preserve">using modulated figures, </w:t>
      </w:r>
      <w:r>
        <w:rPr>
          <w:rFonts w:ascii="Century Gothic" w:hAnsi="Century Gothic"/>
        </w:rPr>
        <w:t>would illuminate the complexity of the process of Gross Profit as defined.</w:t>
      </w:r>
    </w:p>
    <w:p w14:paraId="4B196886" w14:textId="77777777" w:rsidR="00A11435" w:rsidRDefault="00A11435" w:rsidP="00C27032">
      <w:pPr>
        <w:pStyle w:val="NoSpacing"/>
        <w:jc w:val="both"/>
        <w:rPr>
          <w:rFonts w:ascii="Century Gothic" w:hAnsi="Century Gothic"/>
          <w:b/>
          <w:u w:val="single"/>
        </w:rPr>
      </w:pPr>
    </w:p>
    <w:p w14:paraId="70FCD241" w14:textId="77777777" w:rsidR="007D53A4" w:rsidRDefault="007D53A4" w:rsidP="00C27032">
      <w:pPr>
        <w:pStyle w:val="NoSpacing"/>
        <w:jc w:val="both"/>
        <w:rPr>
          <w:rFonts w:ascii="Century Gothic" w:hAnsi="Century Gothic"/>
          <w:b/>
          <w:u w:val="single"/>
        </w:rPr>
      </w:pPr>
    </w:p>
    <w:p w14:paraId="5C21E49A" w14:textId="77777777" w:rsidR="007D53A4" w:rsidRDefault="007D53A4" w:rsidP="00C27032">
      <w:pPr>
        <w:pStyle w:val="NoSpacing"/>
        <w:jc w:val="both"/>
        <w:rPr>
          <w:rFonts w:ascii="Century Gothic" w:hAnsi="Century Gothic"/>
          <w:b/>
          <w:u w:val="single"/>
        </w:rPr>
      </w:pPr>
    </w:p>
    <w:p w14:paraId="473E8C32" w14:textId="77777777" w:rsidR="007D53A4" w:rsidRDefault="007D53A4" w:rsidP="00C27032">
      <w:pPr>
        <w:pStyle w:val="NoSpacing"/>
        <w:jc w:val="both"/>
        <w:rPr>
          <w:rFonts w:ascii="Century Gothic" w:hAnsi="Century Gothic"/>
          <w:b/>
          <w:u w:val="single"/>
        </w:rPr>
      </w:pPr>
    </w:p>
    <w:p w14:paraId="08ED310C" w14:textId="77777777" w:rsidR="007D53A4" w:rsidRDefault="007D53A4" w:rsidP="00C27032">
      <w:pPr>
        <w:pStyle w:val="NoSpacing"/>
        <w:jc w:val="both"/>
        <w:rPr>
          <w:rFonts w:ascii="Century Gothic" w:hAnsi="Century Gothic"/>
          <w:b/>
          <w:u w:val="single"/>
        </w:rPr>
      </w:pPr>
    </w:p>
    <w:p w14:paraId="43E1A8DB" w14:textId="77777777" w:rsidR="007D53A4" w:rsidRDefault="007D53A4" w:rsidP="00C27032">
      <w:pPr>
        <w:pStyle w:val="NoSpacing"/>
        <w:jc w:val="both"/>
        <w:rPr>
          <w:rFonts w:ascii="Century Gothic" w:hAnsi="Century Gothic"/>
          <w:b/>
          <w:u w:val="single"/>
        </w:rPr>
      </w:pPr>
    </w:p>
    <w:p w14:paraId="27FDA9F4" w14:textId="0E7F475E" w:rsidR="00260F11" w:rsidRDefault="00665595" w:rsidP="00C27032">
      <w:pPr>
        <w:pStyle w:val="NoSpacing"/>
        <w:jc w:val="both"/>
        <w:rPr>
          <w:rFonts w:ascii="Century Gothic" w:hAnsi="Century Gothic"/>
          <w:b/>
          <w:u w:val="single"/>
        </w:rPr>
      </w:pPr>
      <w:r w:rsidRPr="00665595">
        <w:rPr>
          <w:rFonts w:ascii="Century Gothic" w:hAnsi="Century Gothic"/>
          <w:b/>
          <w:u w:val="single"/>
        </w:rPr>
        <w:lastRenderedPageBreak/>
        <w:t xml:space="preserve">Illustration </w:t>
      </w:r>
      <w:r w:rsidR="00814336">
        <w:rPr>
          <w:rFonts w:ascii="Century Gothic" w:hAnsi="Century Gothic"/>
          <w:b/>
          <w:u w:val="single"/>
        </w:rPr>
        <w:t>8</w:t>
      </w:r>
    </w:p>
    <w:p w14:paraId="24662D53" w14:textId="77777777" w:rsidR="00E50832" w:rsidRPr="00E50832" w:rsidRDefault="00E50832" w:rsidP="00C27032">
      <w:pPr>
        <w:pStyle w:val="NoSpacing"/>
        <w:jc w:val="both"/>
        <w:rPr>
          <w:rFonts w:ascii="Century Gothic" w:hAnsi="Century Gothic"/>
          <w:b/>
          <w:u w:val="single"/>
        </w:rPr>
      </w:pPr>
    </w:p>
    <w:tbl>
      <w:tblPr>
        <w:tblStyle w:val="TableGrid"/>
        <w:tblW w:w="0" w:type="auto"/>
        <w:tblLook w:val="04A0" w:firstRow="1" w:lastRow="0" w:firstColumn="1" w:lastColumn="0" w:noHBand="0" w:noVBand="1"/>
      </w:tblPr>
      <w:tblGrid>
        <w:gridCol w:w="2271"/>
        <w:gridCol w:w="2227"/>
        <w:gridCol w:w="2259"/>
        <w:gridCol w:w="2259"/>
      </w:tblGrid>
      <w:tr w:rsidR="00C669B7" w14:paraId="29B3A6FE" w14:textId="77777777" w:rsidTr="00447909">
        <w:tc>
          <w:tcPr>
            <w:tcW w:w="2337" w:type="dxa"/>
          </w:tcPr>
          <w:p w14:paraId="20E4B5FE" w14:textId="77777777" w:rsidR="00C669B7" w:rsidRDefault="00C669B7" w:rsidP="00447909">
            <w:pPr>
              <w:pStyle w:val="NoSpacing"/>
              <w:rPr>
                <w:rFonts w:ascii="Century Gothic" w:hAnsi="Century Gothic"/>
              </w:rPr>
            </w:pPr>
          </w:p>
        </w:tc>
        <w:tc>
          <w:tcPr>
            <w:tcW w:w="2337" w:type="dxa"/>
          </w:tcPr>
          <w:p w14:paraId="0126832E" w14:textId="77777777" w:rsidR="00C669B7" w:rsidRDefault="00C669B7" w:rsidP="00447909">
            <w:pPr>
              <w:pStyle w:val="NoSpacing"/>
              <w:rPr>
                <w:rFonts w:ascii="Century Gothic" w:hAnsi="Century Gothic"/>
              </w:rPr>
            </w:pPr>
          </w:p>
        </w:tc>
        <w:tc>
          <w:tcPr>
            <w:tcW w:w="2338" w:type="dxa"/>
          </w:tcPr>
          <w:p w14:paraId="00052915" w14:textId="2ECA4999" w:rsidR="00572524" w:rsidRDefault="00572524" w:rsidP="00447909">
            <w:pPr>
              <w:pStyle w:val="NoSpacing"/>
              <w:rPr>
                <w:rFonts w:ascii="Century Gothic" w:hAnsi="Century Gothic"/>
                <w:b/>
              </w:rPr>
            </w:pPr>
            <w:r>
              <w:rPr>
                <w:rFonts w:ascii="Century Gothic" w:hAnsi="Century Gothic"/>
                <w:b/>
              </w:rPr>
              <w:t xml:space="preserve">     </w:t>
            </w:r>
            <w:r w:rsidR="00975CA7">
              <w:rPr>
                <w:rFonts w:ascii="Century Gothic" w:hAnsi="Century Gothic"/>
                <w:b/>
              </w:rPr>
              <w:t xml:space="preserve"> </w:t>
            </w:r>
            <w:r>
              <w:rPr>
                <w:rFonts w:ascii="Century Gothic" w:hAnsi="Century Gothic"/>
                <w:b/>
              </w:rPr>
              <w:t xml:space="preserve">  Column  i</w:t>
            </w:r>
          </w:p>
          <w:p w14:paraId="3D832E23" w14:textId="0AF147F7" w:rsidR="00C669B7" w:rsidRPr="00AA7394" w:rsidRDefault="00572524" w:rsidP="00447909">
            <w:pPr>
              <w:pStyle w:val="NoSpacing"/>
              <w:rPr>
                <w:rFonts w:ascii="Century Gothic" w:hAnsi="Century Gothic"/>
                <w:b/>
              </w:rPr>
            </w:pPr>
            <w:r>
              <w:rPr>
                <w:rFonts w:ascii="Century Gothic" w:hAnsi="Century Gothic"/>
                <w:b/>
              </w:rPr>
              <w:t xml:space="preserve">   </w:t>
            </w:r>
            <w:r w:rsidR="00C669B7" w:rsidRPr="00AA7394">
              <w:rPr>
                <w:rFonts w:ascii="Century Gothic" w:hAnsi="Century Gothic"/>
                <w:b/>
              </w:rPr>
              <w:t xml:space="preserve">SWE </w:t>
            </w:r>
            <w:r w:rsidR="00447909" w:rsidRPr="00AA7394">
              <w:rPr>
                <w:rFonts w:ascii="Century Gothic" w:hAnsi="Century Gothic"/>
                <w:b/>
              </w:rPr>
              <w:t>including</w:t>
            </w:r>
          </w:p>
          <w:p w14:paraId="6C8DD7EB" w14:textId="77777777" w:rsidR="00C669B7" w:rsidRDefault="00C669B7" w:rsidP="00447909">
            <w:pPr>
              <w:pStyle w:val="NoSpacing"/>
              <w:rPr>
                <w:rFonts w:ascii="Century Gothic" w:hAnsi="Century Gothic"/>
              </w:rPr>
            </w:pPr>
            <w:r w:rsidRPr="00AA7394">
              <w:rPr>
                <w:rFonts w:ascii="Century Gothic" w:hAnsi="Century Gothic"/>
                <w:b/>
              </w:rPr>
              <w:t xml:space="preserve">    Depreciation</w:t>
            </w:r>
          </w:p>
        </w:tc>
        <w:tc>
          <w:tcPr>
            <w:tcW w:w="2338" w:type="dxa"/>
          </w:tcPr>
          <w:p w14:paraId="1C5B3EDC" w14:textId="32C808BF" w:rsidR="00572524" w:rsidRDefault="00572524" w:rsidP="00447909">
            <w:pPr>
              <w:pStyle w:val="NoSpacing"/>
              <w:rPr>
                <w:rFonts w:ascii="Century Gothic" w:hAnsi="Century Gothic"/>
                <w:b/>
              </w:rPr>
            </w:pPr>
            <w:r>
              <w:rPr>
                <w:rFonts w:ascii="Century Gothic" w:hAnsi="Century Gothic"/>
                <w:b/>
              </w:rPr>
              <w:t xml:space="preserve">        Colum</w:t>
            </w:r>
            <w:r w:rsidR="002B0DA8">
              <w:rPr>
                <w:rFonts w:ascii="Century Gothic" w:hAnsi="Century Gothic"/>
                <w:b/>
              </w:rPr>
              <w:t>n</w:t>
            </w:r>
            <w:r>
              <w:rPr>
                <w:rFonts w:ascii="Century Gothic" w:hAnsi="Century Gothic"/>
                <w:b/>
              </w:rPr>
              <w:t xml:space="preserve"> II</w:t>
            </w:r>
          </w:p>
          <w:p w14:paraId="18A14A8F" w14:textId="12105627" w:rsidR="00C669B7" w:rsidRPr="00AA7394" w:rsidRDefault="00C669B7" w:rsidP="00447909">
            <w:pPr>
              <w:pStyle w:val="NoSpacing"/>
              <w:rPr>
                <w:rFonts w:ascii="Century Gothic" w:hAnsi="Century Gothic"/>
                <w:b/>
              </w:rPr>
            </w:pPr>
            <w:r w:rsidRPr="00AA7394">
              <w:rPr>
                <w:rFonts w:ascii="Century Gothic" w:hAnsi="Century Gothic"/>
                <w:b/>
              </w:rPr>
              <w:t xml:space="preserve"> </w:t>
            </w:r>
            <w:r w:rsidR="00572524">
              <w:rPr>
                <w:rFonts w:ascii="Century Gothic" w:hAnsi="Century Gothic"/>
                <w:b/>
              </w:rPr>
              <w:t xml:space="preserve">  </w:t>
            </w:r>
            <w:r w:rsidRPr="00AA7394">
              <w:rPr>
                <w:rFonts w:ascii="Century Gothic" w:hAnsi="Century Gothic"/>
                <w:b/>
              </w:rPr>
              <w:t>SWE</w:t>
            </w:r>
            <w:r w:rsidR="00447909" w:rsidRPr="00AA7394">
              <w:rPr>
                <w:rFonts w:ascii="Century Gothic" w:hAnsi="Century Gothic"/>
                <w:b/>
              </w:rPr>
              <w:t xml:space="preserve"> excluding</w:t>
            </w:r>
          </w:p>
          <w:p w14:paraId="7EB610E9" w14:textId="77777777" w:rsidR="00C669B7" w:rsidRPr="00AA7394" w:rsidRDefault="00C669B7" w:rsidP="00447909">
            <w:pPr>
              <w:pStyle w:val="NoSpacing"/>
              <w:rPr>
                <w:rFonts w:ascii="Century Gothic" w:hAnsi="Century Gothic"/>
                <w:b/>
              </w:rPr>
            </w:pPr>
            <w:r w:rsidRPr="00AA7394">
              <w:rPr>
                <w:rFonts w:ascii="Century Gothic" w:hAnsi="Century Gothic"/>
                <w:b/>
              </w:rPr>
              <w:t xml:space="preserve">      Depreciation</w:t>
            </w:r>
          </w:p>
        </w:tc>
      </w:tr>
      <w:tr w:rsidR="00C669B7" w14:paraId="06688C37" w14:textId="77777777" w:rsidTr="00447909">
        <w:tc>
          <w:tcPr>
            <w:tcW w:w="2337" w:type="dxa"/>
          </w:tcPr>
          <w:p w14:paraId="6C1A2AEC" w14:textId="77777777" w:rsidR="00C669B7" w:rsidRDefault="00C669B7" w:rsidP="00447909">
            <w:pPr>
              <w:pStyle w:val="NoSpacing"/>
              <w:rPr>
                <w:rFonts w:ascii="Century Gothic" w:hAnsi="Century Gothic"/>
              </w:rPr>
            </w:pPr>
          </w:p>
        </w:tc>
        <w:tc>
          <w:tcPr>
            <w:tcW w:w="2337" w:type="dxa"/>
          </w:tcPr>
          <w:p w14:paraId="42ED98F8" w14:textId="77777777" w:rsidR="00C669B7" w:rsidRDefault="00C669B7" w:rsidP="00447909">
            <w:pPr>
              <w:pStyle w:val="NoSpacing"/>
              <w:rPr>
                <w:rFonts w:ascii="Century Gothic" w:hAnsi="Century Gothic"/>
              </w:rPr>
            </w:pPr>
          </w:p>
        </w:tc>
        <w:tc>
          <w:tcPr>
            <w:tcW w:w="2338" w:type="dxa"/>
          </w:tcPr>
          <w:p w14:paraId="3012380A" w14:textId="7A3D02D4" w:rsidR="00C669B7" w:rsidRDefault="002D6B08" w:rsidP="00447909">
            <w:pPr>
              <w:pStyle w:val="NoSpacing"/>
              <w:rPr>
                <w:rFonts w:ascii="Century Gothic" w:hAnsi="Century Gothic"/>
              </w:rPr>
            </w:pPr>
            <w:r>
              <w:rPr>
                <w:rFonts w:ascii="Century Gothic" w:hAnsi="Century Gothic"/>
              </w:rPr>
              <w:t xml:space="preserve">               $</w:t>
            </w:r>
          </w:p>
        </w:tc>
        <w:tc>
          <w:tcPr>
            <w:tcW w:w="2338" w:type="dxa"/>
          </w:tcPr>
          <w:p w14:paraId="45FC9839" w14:textId="4232163A" w:rsidR="00C669B7" w:rsidRDefault="002D6B08" w:rsidP="00447909">
            <w:pPr>
              <w:pStyle w:val="NoSpacing"/>
              <w:rPr>
                <w:rFonts w:ascii="Century Gothic" w:hAnsi="Century Gothic"/>
              </w:rPr>
            </w:pPr>
            <w:r>
              <w:rPr>
                <w:rFonts w:ascii="Century Gothic" w:hAnsi="Century Gothic"/>
              </w:rPr>
              <w:t xml:space="preserve">              $</w:t>
            </w:r>
          </w:p>
        </w:tc>
      </w:tr>
      <w:tr w:rsidR="00C669B7" w14:paraId="5985230D" w14:textId="77777777" w:rsidTr="00447909">
        <w:tc>
          <w:tcPr>
            <w:tcW w:w="2337" w:type="dxa"/>
          </w:tcPr>
          <w:p w14:paraId="73D7D4B9" w14:textId="77777777" w:rsidR="00C669B7" w:rsidRDefault="00C669B7" w:rsidP="00447909">
            <w:pPr>
              <w:pStyle w:val="NoSpacing"/>
              <w:rPr>
                <w:rFonts w:ascii="Century Gothic" w:hAnsi="Century Gothic"/>
              </w:rPr>
            </w:pPr>
            <w:r>
              <w:rPr>
                <w:rFonts w:ascii="Century Gothic" w:hAnsi="Century Gothic"/>
              </w:rPr>
              <w:t>Turnover</w:t>
            </w:r>
          </w:p>
        </w:tc>
        <w:tc>
          <w:tcPr>
            <w:tcW w:w="2337" w:type="dxa"/>
          </w:tcPr>
          <w:p w14:paraId="3A08A6A2" w14:textId="77777777" w:rsidR="00C669B7" w:rsidRDefault="00C669B7" w:rsidP="00447909">
            <w:pPr>
              <w:pStyle w:val="NoSpacing"/>
              <w:rPr>
                <w:rFonts w:ascii="Century Gothic" w:hAnsi="Century Gothic"/>
              </w:rPr>
            </w:pPr>
          </w:p>
        </w:tc>
        <w:tc>
          <w:tcPr>
            <w:tcW w:w="2338" w:type="dxa"/>
          </w:tcPr>
          <w:p w14:paraId="78ED5E34" w14:textId="77777777" w:rsidR="00C669B7" w:rsidRDefault="00C669B7" w:rsidP="00447909">
            <w:pPr>
              <w:pStyle w:val="NoSpacing"/>
              <w:rPr>
                <w:rFonts w:ascii="Century Gothic" w:hAnsi="Century Gothic"/>
              </w:rPr>
            </w:pPr>
            <w:r>
              <w:rPr>
                <w:rFonts w:ascii="Century Gothic" w:hAnsi="Century Gothic"/>
              </w:rPr>
              <w:t xml:space="preserve">       28,000,000</w:t>
            </w:r>
          </w:p>
        </w:tc>
        <w:tc>
          <w:tcPr>
            <w:tcW w:w="2338" w:type="dxa"/>
          </w:tcPr>
          <w:p w14:paraId="4543EA6D" w14:textId="77777777" w:rsidR="00C669B7" w:rsidRDefault="00C669B7" w:rsidP="00447909">
            <w:pPr>
              <w:pStyle w:val="NoSpacing"/>
              <w:rPr>
                <w:rFonts w:ascii="Century Gothic" w:hAnsi="Century Gothic"/>
              </w:rPr>
            </w:pPr>
            <w:r>
              <w:rPr>
                <w:rFonts w:ascii="Century Gothic" w:hAnsi="Century Gothic"/>
              </w:rPr>
              <w:t xml:space="preserve">       28,000,000</w:t>
            </w:r>
          </w:p>
        </w:tc>
      </w:tr>
      <w:tr w:rsidR="00C669B7" w14:paraId="4B66CBA8" w14:textId="77777777" w:rsidTr="00447909">
        <w:tc>
          <w:tcPr>
            <w:tcW w:w="2337" w:type="dxa"/>
          </w:tcPr>
          <w:p w14:paraId="639E8030" w14:textId="77777777" w:rsidR="00C669B7" w:rsidRDefault="00C669B7" w:rsidP="00447909">
            <w:pPr>
              <w:pStyle w:val="NoSpacing"/>
              <w:rPr>
                <w:rFonts w:ascii="Century Gothic" w:hAnsi="Century Gothic"/>
              </w:rPr>
            </w:pPr>
            <w:r>
              <w:rPr>
                <w:rFonts w:ascii="Century Gothic" w:hAnsi="Century Gothic"/>
              </w:rPr>
              <w:t>Closing Stock</w:t>
            </w:r>
          </w:p>
        </w:tc>
        <w:tc>
          <w:tcPr>
            <w:tcW w:w="2337" w:type="dxa"/>
          </w:tcPr>
          <w:p w14:paraId="52A8A2CE" w14:textId="77777777" w:rsidR="00C669B7" w:rsidRDefault="00C669B7" w:rsidP="00447909">
            <w:pPr>
              <w:pStyle w:val="NoSpacing"/>
              <w:rPr>
                <w:rFonts w:ascii="Century Gothic" w:hAnsi="Century Gothic"/>
              </w:rPr>
            </w:pPr>
          </w:p>
        </w:tc>
        <w:tc>
          <w:tcPr>
            <w:tcW w:w="2338" w:type="dxa"/>
          </w:tcPr>
          <w:p w14:paraId="2A7A8BDC" w14:textId="77777777" w:rsidR="00C669B7" w:rsidRPr="007065A2" w:rsidRDefault="00C669B7" w:rsidP="00447909">
            <w:pPr>
              <w:pStyle w:val="NoSpacing"/>
              <w:rPr>
                <w:rFonts w:ascii="Century Gothic" w:hAnsi="Century Gothic"/>
                <w:u w:val="single"/>
              </w:rPr>
            </w:pPr>
            <w:r>
              <w:rPr>
                <w:rFonts w:ascii="Century Gothic" w:hAnsi="Century Gothic"/>
              </w:rPr>
              <w:t xml:space="preserve">      </w:t>
            </w:r>
            <w:r w:rsidRPr="007065A2">
              <w:rPr>
                <w:rFonts w:ascii="Century Gothic" w:hAnsi="Century Gothic"/>
                <w:b/>
                <w:u w:val="single"/>
              </w:rPr>
              <w:t xml:space="preserve">  </w:t>
            </w:r>
            <w:r w:rsidRPr="007065A2">
              <w:rPr>
                <w:rFonts w:ascii="Century Gothic" w:hAnsi="Century Gothic"/>
                <w:u w:val="single"/>
              </w:rPr>
              <w:t xml:space="preserve"> 1,200,000</w:t>
            </w:r>
          </w:p>
        </w:tc>
        <w:tc>
          <w:tcPr>
            <w:tcW w:w="2338" w:type="dxa"/>
          </w:tcPr>
          <w:p w14:paraId="3A54344A" w14:textId="77777777" w:rsidR="00C669B7" w:rsidRDefault="00C669B7" w:rsidP="00447909">
            <w:pPr>
              <w:pStyle w:val="NoSpacing"/>
              <w:rPr>
                <w:rFonts w:ascii="Century Gothic" w:hAnsi="Century Gothic"/>
              </w:rPr>
            </w:pPr>
            <w:r>
              <w:rPr>
                <w:rFonts w:ascii="Century Gothic" w:hAnsi="Century Gothic"/>
              </w:rPr>
              <w:t xml:space="preserve">         1,200,000 </w:t>
            </w:r>
          </w:p>
        </w:tc>
      </w:tr>
      <w:tr w:rsidR="00C669B7" w14:paraId="062F2099" w14:textId="77777777" w:rsidTr="00447909">
        <w:tc>
          <w:tcPr>
            <w:tcW w:w="2337" w:type="dxa"/>
          </w:tcPr>
          <w:p w14:paraId="419FBE87" w14:textId="77777777" w:rsidR="00C669B7" w:rsidRDefault="00C669B7" w:rsidP="00447909">
            <w:pPr>
              <w:pStyle w:val="NoSpacing"/>
              <w:rPr>
                <w:rFonts w:ascii="Century Gothic" w:hAnsi="Century Gothic"/>
              </w:rPr>
            </w:pPr>
          </w:p>
        </w:tc>
        <w:tc>
          <w:tcPr>
            <w:tcW w:w="2337" w:type="dxa"/>
          </w:tcPr>
          <w:p w14:paraId="285D1A5C" w14:textId="77777777" w:rsidR="00C669B7" w:rsidRDefault="00C669B7" w:rsidP="00447909">
            <w:pPr>
              <w:pStyle w:val="NoSpacing"/>
              <w:rPr>
                <w:rFonts w:ascii="Century Gothic" w:hAnsi="Century Gothic"/>
              </w:rPr>
            </w:pPr>
          </w:p>
        </w:tc>
        <w:tc>
          <w:tcPr>
            <w:tcW w:w="2338" w:type="dxa"/>
          </w:tcPr>
          <w:p w14:paraId="16C902AE" w14:textId="77777777" w:rsidR="00C669B7" w:rsidRDefault="00C669B7" w:rsidP="00447909">
            <w:pPr>
              <w:pStyle w:val="NoSpacing"/>
              <w:rPr>
                <w:rFonts w:ascii="Century Gothic" w:hAnsi="Century Gothic"/>
              </w:rPr>
            </w:pPr>
            <w:r>
              <w:rPr>
                <w:rFonts w:ascii="Century Gothic" w:hAnsi="Century Gothic"/>
              </w:rPr>
              <w:t xml:space="preserve">       29,200,000</w:t>
            </w:r>
          </w:p>
        </w:tc>
        <w:tc>
          <w:tcPr>
            <w:tcW w:w="2338" w:type="dxa"/>
          </w:tcPr>
          <w:p w14:paraId="38789D16" w14:textId="77777777" w:rsidR="00C669B7" w:rsidRDefault="00C669B7" w:rsidP="00447909">
            <w:pPr>
              <w:pStyle w:val="NoSpacing"/>
              <w:rPr>
                <w:rFonts w:ascii="Century Gothic" w:hAnsi="Century Gothic"/>
              </w:rPr>
            </w:pPr>
            <w:r>
              <w:rPr>
                <w:rFonts w:ascii="Century Gothic" w:hAnsi="Century Gothic"/>
              </w:rPr>
              <w:t xml:space="preserve">       29,200,000</w:t>
            </w:r>
          </w:p>
        </w:tc>
      </w:tr>
      <w:tr w:rsidR="00C669B7" w14:paraId="6B4F140B" w14:textId="77777777" w:rsidTr="00447909">
        <w:tc>
          <w:tcPr>
            <w:tcW w:w="2337" w:type="dxa"/>
          </w:tcPr>
          <w:p w14:paraId="59024B9F" w14:textId="77777777" w:rsidR="00C669B7" w:rsidRDefault="00C669B7" w:rsidP="00447909">
            <w:pPr>
              <w:pStyle w:val="NoSpacing"/>
              <w:rPr>
                <w:rFonts w:ascii="Century Gothic" w:hAnsi="Century Gothic"/>
              </w:rPr>
            </w:pPr>
            <w:r>
              <w:rPr>
                <w:rFonts w:ascii="Century Gothic" w:hAnsi="Century Gothic"/>
              </w:rPr>
              <w:t>Less</w:t>
            </w:r>
          </w:p>
        </w:tc>
        <w:tc>
          <w:tcPr>
            <w:tcW w:w="2337" w:type="dxa"/>
          </w:tcPr>
          <w:p w14:paraId="481BFBE3" w14:textId="77777777" w:rsidR="00C669B7" w:rsidRDefault="00C669B7" w:rsidP="00447909">
            <w:pPr>
              <w:pStyle w:val="NoSpacing"/>
              <w:rPr>
                <w:rFonts w:ascii="Century Gothic" w:hAnsi="Century Gothic"/>
              </w:rPr>
            </w:pPr>
          </w:p>
        </w:tc>
        <w:tc>
          <w:tcPr>
            <w:tcW w:w="2338" w:type="dxa"/>
          </w:tcPr>
          <w:p w14:paraId="749B073B" w14:textId="77777777" w:rsidR="00C669B7" w:rsidRDefault="00C669B7" w:rsidP="00447909">
            <w:pPr>
              <w:pStyle w:val="NoSpacing"/>
              <w:rPr>
                <w:rFonts w:ascii="Century Gothic" w:hAnsi="Century Gothic"/>
              </w:rPr>
            </w:pPr>
          </w:p>
        </w:tc>
        <w:tc>
          <w:tcPr>
            <w:tcW w:w="2338" w:type="dxa"/>
          </w:tcPr>
          <w:p w14:paraId="7A71657B" w14:textId="77777777" w:rsidR="00C669B7" w:rsidRDefault="00C669B7" w:rsidP="00447909">
            <w:pPr>
              <w:pStyle w:val="NoSpacing"/>
              <w:rPr>
                <w:rFonts w:ascii="Century Gothic" w:hAnsi="Century Gothic"/>
              </w:rPr>
            </w:pPr>
          </w:p>
        </w:tc>
      </w:tr>
      <w:tr w:rsidR="00C669B7" w14:paraId="7B210A82" w14:textId="77777777" w:rsidTr="00447909">
        <w:tc>
          <w:tcPr>
            <w:tcW w:w="2337" w:type="dxa"/>
          </w:tcPr>
          <w:p w14:paraId="53C0EDA5" w14:textId="77777777" w:rsidR="00C669B7" w:rsidRDefault="00C669B7" w:rsidP="00447909">
            <w:pPr>
              <w:pStyle w:val="NoSpacing"/>
              <w:rPr>
                <w:rFonts w:ascii="Century Gothic" w:hAnsi="Century Gothic"/>
              </w:rPr>
            </w:pPr>
            <w:r>
              <w:rPr>
                <w:rFonts w:ascii="Century Gothic" w:hAnsi="Century Gothic"/>
              </w:rPr>
              <w:t>Opening Stock</w:t>
            </w:r>
          </w:p>
        </w:tc>
        <w:tc>
          <w:tcPr>
            <w:tcW w:w="2337" w:type="dxa"/>
          </w:tcPr>
          <w:p w14:paraId="2B69B254" w14:textId="77777777" w:rsidR="00C669B7" w:rsidRDefault="00C669B7" w:rsidP="00447909">
            <w:pPr>
              <w:pStyle w:val="NoSpacing"/>
              <w:rPr>
                <w:rFonts w:ascii="Century Gothic" w:hAnsi="Century Gothic"/>
              </w:rPr>
            </w:pPr>
            <w:r>
              <w:rPr>
                <w:rFonts w:ascii="Century Gothic" w:hAnsi="Century Gothic"/>
              </w:rPr>
              <w:t xml:space="preserve">         2,600,000</w:t>
            </w:r>
          </w:p>
        </w:tc>
        <w:tc>
          <w:tcPr>
            <w:tcW w:w="2338" w:type="dxa"/>
          </w:tcPr>
          <w:p w14:paraId="10EAFCC3" w14:textId="77777777" w:rsidR="00C669B7" w:rsidRDefault="00C669B7" w:rsidP="00447909">
            <w:pPr>
              <w:pStyle w:val="NoSpacing"/>
              <w:rPr>
                <w:rFonts w:ascii="Century Gothic" w:hAnsi="Century Gothic"/>
              </w:rPr>
            </w:pPr>
          </w:p>
        </w:tc>
        <w:tc>
          <w:tcPr>
            <w:tcW w:w="2338" w:type="dxa"/>
          </w:tcPr>
          <w:p w14:paraId="21EF79D1" w14:textId="77777777" w:rsidR="00C669B7" w:rsidRDefault="00C669B7" w:rsidP="00447909">
            <w:pPr>
              <w:pStyle w:val="NoSpacing"/>
              <w:rPr>
                <w:rFonts w:ascii="Century Gothic" w:hAnsi="Century Gothic"/>
              </w:rPr>
            </w:pPr>
          </w:p>
        </w:tc>
      </w:tr>
      <w:tr w:rsidR="00C669B7" w14:paraId="3CF7EB86" w14:textId="77777777" w:rsidTr="00447909">
        <w:tc>
          <w:tcPr>
            <w:tcW w:w="2337" w:type="dxa"/>
          </w:tcPr>
          <w:p w14:paraId="3D9D1749" w14:textId="77777777" w:rsidR="00C669B7" w:rsidRDefault="00C669B7" w:rsidP="00447909">
            <w:pPr>
              <w:pStyle w:val="NoSpacing"/>
              <w:rPr>
                <w:rFonts w:ascii="Century Gothic" w:hAnsi="Century Gothic"/>
              </w:rPr>
            </w:pPr>
            <w:r>
              <w:rPr>
                <w:rFonts w:ascii="Century Gothic" w:hAnsi="Century Gothic"/>
              </w:rPr>
              <w:t xml:space="preserve">Purchases </w:t>
            </w:r>
          </w:p>
        </w:tc>
        <w:tc>
          <w:tcPr>
            <w:tcW w:w="2337" w:type="dxa"/>
          </w:tcPr>
          <w:p w14:paraId="4E932150" w14:textId="77777777" w:rsidR="00C669B7" w:rsidRDefault="00C669B7" w:rsidP="00447909">
            <w:pPr>
              <w:pStyle w:val="NoSpacing"/>
              <w:rPr>
                <w:rFonts w:ascii="Century Gothic" w:hAnsi="Century Gothic"/>
              </w:rPr>
            </w:pPr>
            <w:r>
              <w:rPr>
                <w:rFonts w:ascii="Century Gothic" w:hAnsi="Century Gothic"/>
              </w:rPr>
              <w:t xml:space="preserve">       14,500,000</w:t>
            </w:r>
          </w:p>
        </w:tc>
        <w:tc>
          <w:tcPr>
            <w:tcW w:w="2338" w:type="dxa"/>
          </w:tcPr>
          <w:p w14:paraId="7D71D313" w14:textId="77777777" w:rsidR="00C669B7" w:rsidRDefault="00C669B7" w:rsidP="00447909">
            <w:pPr>
              <w:pStyle w:val="NoSpacing"/>
              <w:rPr>
                <w:rFonts w:ascii="Century Gothic" w:hAnsi="Century Gothic"/>
              </w:rPr>
            </w:pPr>
          </w:p>
        </w:tc>
        <w:tc>
          <w:tcPr>
            <w:tcW w:w="2338" w:type="dxa"/>
          </w:tcPr>
          <w:p w14:paraId="12BB7804" w14:textId="77777777" w:rsidR="00C669B7" w:rsidRDefault="00C669B7" w:rsidP="00447909">
            <w:pPr>
              <w:pStyle w:val="NoSpacing"/>
              <w:rPr>
                <w:rFonts w:ascii="Century Gothic" w:hAnsi="Century Gothic"/>
              </w:rPr>
            </w:pPr>
          </w:p>
        </w:tc>
      </w:tr>
      <w:tr w:rsidR="00C669B7" w14:paraId="45E4AD1B" w14:textId="77777777" w:rsidTr="00447909">
        <w:tc>
          <w:tcPr>
            <w:tcW w:w="2337" w:type="dxa"/>
          </w:tcPr>
          <w:p w14:paraId="0E1344C1" w14:textId="77777777" w:rsidR="00C669B7" w:rsidRDefault="00C669B7" w:rsidP="00447909">
            <w:pPr>
              <w:pStyle w:val="NoSpacing"/>
              <w:rPr>
                <w:rFonts w:ascii="Century Gothic" w:hAnsi="Century Gothic"/>
              </w:rPr>
            </w:pPr>
          </w:p>
        </w:tc>
        <w:tc>
          <w:tcPr>
            <w:tcW w:w="2337" w:type="dxa"/>
          </w:tcPr>
          <w:p w14:paraId="1441681F" w14:textId="77777777" w:rsidR="00C669B7" w:rsidRDefault="00C669B7" w:rsidP="00447909">
            <w:pPr>
              <w:pStyle w:val="NoSpacing"/>
              <w:rPr>
                <w:rFonts w:ascii="Century Gothic" w:hAnsi="Century Gothic"/>
              </w:rPr>
            </w:pPr>
          </w:p>
        </w:tc>
        <w:tc>
          <w:tcPr>
            <w:tcW w:w="2338" w:type="dxa"/>
          </w:tcPr>
          <w:p w14:paraId="2C443618" w14:textId="77777777" w:rsidR="00C669B7" w:rsidRDefault="00C669B7" w:rsidP="00447909">
            <w:pPr>
              <w:pStyle w:val="NoSpacing"/>
              <w:rPr>
                <w:rFonts w:ascii="Century Gothic" w:hAnsi="Century Gothic"/>
              </w:rPr>
            </w:pPr>
          </w:p>
        </w:tc>
        <w:tc>
          <w:tcPr>
            <w:tcW w:w="2338" w:type="dxa"/>
          </w:tcPr>
          <w:p w14:paraId="4FDBFF79" w14:textId="77777777" w:rsidR="00C669B7" w:rsidRDefault="00C669B7" w:rsidP="00447909">
            <w:pPr>
              <w:pStyle w:val="NoSpacing"/>
              <w:rPr>
                <w:rFonts w:ascii="Century Gothic" w:hAnsi="Century Gothic"/>
              </w:rPr>
            </w:pPr>
          </w:p>
        </w:tc>
      </w:tr>
      <w:tr w:rsidR="00C669B7" w14:paraId="3594B2FF" w14:textId="77777777" w:rsidTr="00447909">
        <w:tc>
          <w:tcPr>
            <w:tcW w:w="2337" w:type="dxa"/>
          </w:tcPr>
          <w:p w14:paraId="70D1D114" w14:textId="77777777" w:rsidR="00C669B7" w:rsidRDefault="00C669B7" w:rsidP="00447909">
            <w:pPr>
              <w:pStyle w:val="NoSpacing"/>
              <w:rPr>
                <w:rFonts w:ascii="Century Gothic" w:hAnsi="Century Gothic"/>
              </w:rPr>
            </w:pPr>
            <w:r>
              <w:rPr>
                <w:rFonts w:ascii="Century Gothic" w:hAnsi="Century Gothic"/>
              </w:rPr>
              <w:t>Specified Working Expenses</w:t>
            </w:r>
          </w:p>
        </w:tc>
        <w:tc>
          <w:tcPr>
            <w:tcW w:w="2337" w:type="dxa"/>
          </w:tcPr>
          <w:p w14:paraId="3C4ED82A" w14:textId="77777777" w:rsidR="00C669B7" w:rsidRDefault="00C669B7" w:rsidP="00447909">
            <w:pPr>
              <w:pStyle w:val="NoSpacing"/>
              <w:rPr>
                <w:rFonts w:ascii="Century Gothic" w:hAnsi="Century Gothic"/>
              </w:rPr>
            </w:pPr>
          </w:p>
        </w:tc>
        <w:tc>
          <w:tcPr>
            <w:tcW w:w="2338" w:type="dxa"/>
          </w:tcPr>
          <w:p w14:paraId="37C78C50" w14:textId="77777777" w:rsidR="00C669B7" w:rsidRDefault="00C669B7" w:rsidP="00447909">
            <w:pPr>
              <w:pStyle w:val="NoSpacing"/>
              <w:rPr>
                <w:rFonts w:ascii="Century Gothic" w:hAnsi="Century Gothic"/>
              </w:rPr>
            </w:pPr>
          </w:p>
        </w:tc>
        <w:tc>
          <w:tcPr>
            <w:tcW w:w="2338" w:type="dxa"/>
          </w:tcPr>
          <w:p w14:paraId="7D5EB6B8" w14:textId="77777777" w:rsidR="00C669B7" w:rsidRDefault="00C669B7" w:rsidP="00447909">
            <w:pPr>
              <w:pStyle w:val="NoSpacing"/>
              <w:rPr>
                <w:rFonts w:ascii="Century Gothic" w:hAnsi="Century Gothic"/>
              </w:rPr>
            </w:pPr>
          </w:p>
        </w:tc>
      </w:tr>
      <w:tr w:rsidR="00C669B7" w14:paraId="6D34500C" w14:textId="77777777" w:rsidTr="00447909">
        <w:tc>
          <w:tcPr>
            <w:tcW w:w="2337" w:type="dxa"/>
          </w:tcPr>
          <w:p w14:paraId="24A3A7BF" w14:textId="6D814EE7" w:rsidR="00C669B7" w:rsidRDefault="00547210" w:rsidP="00447909">
            <w:pPr>
              <w:pStyle w:val="NoSpacing"/>
              <w:rPr>
                <w:rFonts w:ascii="Century Gothic" w:hAnsi="Century Gothic"/>
              </w:rPr>
            </w:pPr>
            <w:r>
              <w:rPr>
                <w:rFonts w:ascii="Century Gothic" w:hAnsi="Century Gothic"/>
              </w:rPr>
              <w:t>O &amp; G expenses</w:t>
            </w:r>
          </w:p>
        </w:tc>
        <w:tc>
          <w:tcPr>
            <w:tcW w:w="2337" w:type="dxa"/>
          </w:tcPr>
          <w:p w14:paraId="35670C53" w14:textId="77777777" w:rsidR="00C669B7" w:rsidRDefault="00C669B7" w:rsidP="00447909">
            <w:pPr>
              <w:pStyle w:val="NoSpacing"/>
              <w:rPr>
                <w:rFonts w:ascii="Century Gothic" w:hAnsi="Century Gothic"/>
              </w:rPr>
            </w:pPr>
            <w:r>
              <w:rPr>
                <w:rFonts w:ascii="Century Gothic" w:hAnsi="Century Gothic"/>
              </w:rPr>
              <w:t xml:space="preserve">            410,000</w:t>
            </w:r>
          </w:p>
        </w:tc>
        <w:tc>
          <w:tcPr>
            <w:tcW w:w="2338" w:type="dxa"/>
          </w:tcPr>
          <w:p w14:paraId="4D509FFF" w14:textId="77777777" w:rsidR="00C669B7" w:rsidRDefault="00C669B7" w:rsidP="00447909">
            <w:pPr>
              <w:pStyle w:val="NoSpacing"/>
              <w:rPr>
                <w:rFonts w:ascii="Century Gothic" w:hAnsi="Century Gothic"/>
              </w:rPr>
            </w:pPr>
          </w:p>
        </w:tc>
        <w:tc>
          <w:tcPr>
            <w:tcW w:w="2338" w:type="dxa"/>
          </w:tcPr>
          <w:p w14:paraId="2916DD4B" w14:textId="77777777" w:rsidR="00C669B7" w:rsidRDefault="00C669B7" w:rsidP="00447909">
            <w:pPr>
              <w:pStyle w:val="NoSpacing"/>
              <w:rPr>
                <w:rFonts w:ascii="Century Gothic" w:hAnsi="Century Gothic"/>
              </w:rPr>
            </w:pPr>
          </w:p>
        </w:tc>
      </w:tr>
      <w:tr w:rsidR="00C669B7" w14:paraId="4CE12365" w14:textId="77777777" w:rsidTr="00447909">
        <w:tc>
          <w:tcPr>
            <w:tcW w:w="2337" w:type="dxa"/>
          </w:tcPr>
          <w:p w14:paraId="0AEFD958" w14:textId="59B77AA9" w:rsidR="00C669B7" w:rsidRDefault="00AA7394" w:rsidP="00447909">
            <w:pPr>
              <w:pStyle w:val="NoSpacing"/>
              <w:rPr>
                <w:rFonts w:ascii="Century Gothic" w:hAnsi="Century Gothic"/>
              </w:rPr>
            </w:pPr>
            <w:r>
              <w:rPr>
                <w:rFonts w:ascii="Century Gothic" w:hAnsi="Century Gothic"/>
              </w:rPr>
              <w:t>Lab. expenses</w:t>
            </w:r>
          </w:p>
        </w:tc>
        <w:tc>
          <w:tcPr>
            <w:tcW w:w="2337" w:type="dxa"/>
          </w:tcPr>
          <w:p w14:paraId="2E71B78C" w14:textId="77777777" w:rsidR="00C669B7" w:rsidRDefault="00C669B7" w:rsidP="00447909">
            <w:pPr>
              <w:pStyle w:val="NoSpacing"/>
              <w:rPr>
                <w:rFonts w:ascii="Century Gothic" w:hAnsi="Century Gothic"/>
              </w:rPr>
            </w:pPr>
            <w:r>
              <w:rPr>
                <w:rFonts w:ascii="Century Gothic" w:hAnsi="Century Gothic"/>
              </w:rPr>
              <w:t xml:space="preserve">            272,000</w:t>
            </w:r>
          </w:p>
        </w:tc>
        <w:tc>
          <w:tcPr>
            <w:tcW w:w="2338" w:type="dxa"/>
          </w:tcPr>
          <w:p w14:paraId="5B9B40A3" w14:textId="77777777" w:rsidR="00C669B7" w:rsidRDefault="00C669B7" w:rsidP="00447909">
            <w:pPr>
              <w:pStyle w:val="NoSpacing"/>
              <w:rPr>
                <w:rFonts w:ascii="Century Gothic" w:hAnsi="Century Gothic"/>
              </w:rPr>
            </w:pPr>
          </w:p>
        </w:tc>
        <w:tc>
          <w:tcPr>
            <w:tcW w:w="2338" w:type="dxa"/>
          </w:tcPr>
          <w:p w14:paraId="6E0B91B1" w14:textId="77777777" w:rsidR="00C669B7" w:rsidRDefault="00C669B7" w:rsidP="00447909">
            <w:pPr>
              <w:pStyle w:val="NoSpacing"/>
              <w:rPr>
                <w:rFonts w:ascii="Century Gothic" w:hAnsi="Century Gothic"/>
              </w:rPr>
            </w:pPr>
          </w:p>
        </w:tc>
      </w:tr>
      <w:tr w:rsidR="00C669B7" w14:paraId="3D040254" w14:textId="77777777" w:rsidTr="00447909">
        <w:tc>
          <w:tcPr>
            <w:tcW w:w="2337" w:type="dxa"/>
          </w:tcPr>
          <w:p w14:paraId="7417A956" w14:textId="77777777" w:rsidR="00C669B7" w:rsidRDefault="00C669B7" w:rsidP="00447909">
            <w:pPr>
              <w:pStyle w:val="NoSpacing"/>
              <w:rPr>
                <w:rFonts w:ascii="Century Gothic" w:hAnsi="Century Gothic"/>
              </w:rPr>
            </w:pPr>
            <w:r>
              <w:rPr>
                <w:rFonts w:ascii="Century Gothic" w:hAnsi="Century Gothic"/>
              </w:rPr>
              <w:t>Wages</w:t>
            </w:r>
          </w:p>
        </w:tc>
        <w:tc>
          <w:tcPr>
            <w:tcW w:w="2337" w:type="dxa"/>
          </w:tcPr>
          <w:p w14:paraId="4AC84BAB" w14:textId="77777777" w:rsidR="00C669B7" w:rsidRDefault="00C669B7" w:rsidP="00447909">
            <w:pPr>
              <w:pStyle w:val="NoSpacing"/>
              <w:rPr>
                <w:rFonts w:ascii="Century Gothic" w:hAnsi="Century Gothic"/>
              </w:rPr>
            </w:pPr>
            <w:r>
              <w:rPr>
                <w:rFonts w:ascii="Century Gothic" w:hAnsi="Century Gothic"/>
              </w:rPr>
              <w:t xml:space="preserve">         1,650,000</w:t>
            </w:r>
          </w:p>
        </w:tc>
        <w:tc>
          <w:tcPr>
            <w:tcW w:w="2338" w:type="dxa"/>
          </w:tcPr>
          <w:p w14:paraId="010BA9AE" w14:textId="77777777" w:rsidR="00C669B7" w:rsidRDefault="00C669B7" w:rsidP="00447909">
            <w:pPr>
              <w:pStyle w:val="NoSpacing"/>
              <w:rPr>
                <w:rFonts w:ascii="Century Gothic" w:hAnsi="Century Gothic"/>
              </w:rPr>
            </w:pPr>
          </w:p>
        </w:tc>
        <w:tc>
          <w:tcPr>
            <w:tcW w:w="2338" w:type="dxa"/>
          </w:tcPr>
          <w:p w14:paraId="3779216C" w14:textId="77777777" w:rsidR="00C669B7" w:rsidRDefault="00C669B7" w:rsidP="00447909">
            <w:pPr>
              <w:pStyle w:val="NoSpacing"/>
              <w:rPr>
                <w:rFonts w:ascii="Century Gothic" w:hAnsi="Century Gothic"/>
              </w:rPr>
            </w:pPr>
          </w:p>
        </w:tc>
      </w:tr>
      <w:tr w:rsidR="00C669B7" w14:paraId="149D2EBB" w14:textId="77777777" w:rsidTr="00447909">
        <w:tc>
          <w:tcPr>
            <w:tcW w:w="2337" w:type="dxa"/>
          </w:tcPr>
          <w:p w14:paraId="5DDA2A81" w14:textId="7EEAE8B0" w:rsidR="00C669B7" w:rsidRDefault="00C669B7" w:rsidP="00447909">
            <w:pPr>
              <w:pStyle w:val="NoSpacing"/>
              <w:rPr>
                <w:rFonts w:ascii="Century Gothic" w:hAnsi="Century Gothic"/>
              </w:rPr>
            </w:pPr>
            <w:r>
              <w:rPr>
                <w:rFonts w:ascii="Century Gothic" w:hAnsi="Century Gothic"/>
              </w:rPr>
              <w:t>Transport</w:t>
            </w:r>
            <w:r w:rsidR="00AA7394">
              <w:rPr>
                <w:rFonts w:ascii="Century Gothic" w:hAnsi="Century Gothic"/>
              </w:rPr>
              <w:t>ation</w:t>
            </w:r>
          </w:p>
        </w:tc>
        <w:tc>
          <w:tcPr>
            <w:tcW w:w="2337" w:type="dxa"/>
          </w:tcPr>
          <w:p w14:paraId="159D767A" w14:textId="77777777" w:rsidR="00C669B7" w:rsidRDefault="00C669B7" w:rsidP="00447909">
            <w:pPr>
              <w:pStyle w:val="NoSpacing"/>
              <w:rPr>
                <w:rFonts w:ascii="Century Gothic" w:hAnsi="Century Gothic"/>
              </w:rPr>
            </w:pPr>
            <w:r>
              <w:rPr>
                <w:rFonts w:ascii="Century Gothic" w:hAnsi="Century Gothic"/>
              </w:rPr>
              <w:t xml:space="preserve">            362,000</w:t>
            </w:r>
          </w:p>
        </w:tc>
        <w:tc>
          <w:tcPr>
            <w:tcW w:w="2338" w:type="dxa"/>
          </w:tcPr>
          <w:p w14:paraId="54D6D11A" w14:textId="77777777" w:rsidR="00C669B7" w:rsidRDefault="00C669B7" w:rsidP="00447909">
            <w:pPr>
              <w:pStyle w:val="NoSpacing"/>
              <w:rPr>
                <w:rFonts w:ascii="Century Gothic" w:hAnsi="Century Gothic"/>
              </w:rPr>
            </w:pPr>
          </w:p>
        </w:tc>
        <w:tc>
          <w:tcPr>
            <w:tcW w:w="2338" w:type="dxa"/>
          </w:tcPr>
          <w:p w14:paraId="5020C7C8" w14:textId="77777777" w:rsidR="00C669B7" w:rsidRDefault="00C669B7" w:rsidP="00447909">
            <w:pPr>
              <w:pStyle w:val="NoSpacing"/>
              <w:rPr>
                <w:rFonts w:ascii="Century Gothic" w:hAnsi="Century Gothic"/>
              </w:rPr>
            </w:pPr>
          </w:p>
        </w:tc>
      </w:tr>
      <w:tr w:rsidR="00C669B7" w14:paraId="19F20DF4" w14:textId="77777777" w:rsidTr="00447909">
        <w:tc>
          <w:tcPr>
            <w:tcW w:w="2337" w:type="dxa"/>
          </w:tcPr>
          <w:p w14:paraId="6D168510" w14:textId="0A1EC6A6" w:rsidR="00C669B7" w:rsidRDefault="00C669B7" w:rsidP="00447909">
            <w:pPr>
              <w:pStyle w:val="NoSpacing"/>
              <w:rPr>
                <w:rFonts w:ascii="Century Gothic" w:hAnsi="Century Gothic"/>
              </w:rPr>
            </w:pPr>
            <w:r>
              <w:rPr>
                <w:rFonts w:ascii="Century Gothic" w:hAnsi="Century Gothic"/>
              </w:rPr>
              <w:t xml:space="preserve">Waste </w:t>
            </w:r>
            <w:r w:rsidR="00AA7394">
              <w:rPr>
                <w:rFonts w:ascii="Century Gothic" w:hAnsi="Century Gothic"/>
              </w:rPr>
              <w:t>expenses</w:t>
            </w:r>
          </w:p>
        </w:tc>
        <w:tc>
          <w:tcPr>
            <w:tcW w:w="2337" w:type="dxa"/>
          </w:tcPr>
          <w:p w14:paraId="13FB9B72" w14:textId="77777777" w:rsidR="00C669B7" w:rsidRDefault="00C669B7" w:rsidP="00447909">
            <w:pPr>
              <w:pStyle w:val="NoSpacing"/>
              <w:rPr>
                <w:rFonts w:ascii="Century Gothic" w:hAnsi="Century Gothic"/>
              </w:rPr>
            </w:pPr>
            <w:r>
              <w:rPr>
                <w:rFonts w:ascii="Century Gothic" w:hAnsi="Century Gothic"/>
              </w:rPr>
              <w:t xml:space="preserve">            185,000</w:t>
            </w:r>
          </w:p>
        </w:tc>
        <w:tc>
          <w:tcPr>
            <w:tcW w:w="2338" w:type="dxa"/>
          </w:tcPr>
          <w:p w14:paraId="368715CB" w14:textId="77777777" w:rsidR="00C669B7" w:rsidRDefault="00C669B7" w:rsidP="00447909">
            <w:pPr>
              <w:pStyle w:val="NoSpacing"/>
              <w:rPr>
                <w:rFonts w:ascii="Century Gothic" w:hAnsi="Century Gothic"/>
              </w:rPr>
            </w:pPr>
          </w:p>
        </w:tc>
        <w:tc>
          <w:tcPr>
            <w:tcW w:w="2338" w:type="dxa"/>
          </w:tcPr>
          <w:p w14:paraId="775BDB1E" w14:textId="77777777" w:rsidR="00C669B7" w:rsidRDefault="00C669B7" w:rsidP="00447909">
            <w:pPr>
              <w:pStyle w:val="NoSpacing"/>
              <w:rPr>
                <w:rFonts w:ascii="Century Gothic" w:hAnsi="Century Gothic"/>
              </w:rPr>
            </w:pPr>
          </w:p>
        </w:tc>
      </w:tr>
      <w:tr w:rsidR="00C669B7" w14:paraId="4A4E6CA1" w14:textId="77777777" w:rsidTr="00447909">
        <w:tc>
          <w:tcPr>
            <w:tcW w:w="2337" w:type="dxa"/>
          </w:tcPr>
          <w:p w14:paraId="760E0D73" w14:textId="5379B16F" w:rsidR="00C669B7" w:rsidRDefault="00C669B7" w:rsidP="00447909">
            <w:pPr>
              <w:pStyle w:val="NoSpacing"/>
              <w:rPr>
                <w:rFonts w:ascii="Century Gothic" w:hAnsi="Century Gothic"/>
              </w:rPr>
            </w:pPr>
            <w:r>
              <w:rPr>
                <w:rFonts w:ascii="Century Gothic" w:hAnsi="Century Gothic"/>
              </w:rPr>
              <w:t>Cess</w:t>
            </w:r>
          </w:p>
        </w:tc>
        <w:tc>
          <w:tcPr>
            <w:tcW w:w="2337" w:type="dxa"/>
          </w:tcPr>
          <w:p w14:paraId="1426DD61" w14:textId="77777777" w:rsidR="00C669B7" w:rsidRDefault="00C669B7" w:rsidP="00447909">
            <w:pPr>
              <w:pStyle w:val="NoSpacing"/>
              <w:rPr>
                <w:rFonts w:ascii="Century Gothic" w:hAnsi="Century Gothic"/>
              </w:rPr>
            </w:pPr>
            <w:r>
              <w:rPr>
                <w:rFonts w:ascii="Century Gothic" w:hAnsi="Century Gothic"/>
              </w:rPr>
              <w:t xml:space="preserve">            124,000</w:t>
            </w:r>
          </w:p>
        </w:tc>
        <w:tc>
          <w:tcPr>
            <w:tcW w:w="2338" w:type="dxa"/>
          </w:tcPr>
          <w:p w14:paraId="32079B98" w14:textId="77777777" w:rsidR="00C669B7" w:rsidRDefault="00C669B7" w:rsidP="00447909">
            <w:pPr>
              <w:pStyle w:val="NoSpacing"/>
              <w:rPr>
                <w:rFonts w:ascii="Century Gothic" w:hAnsi="Century Gothic"/>
              </w:rPr>
            </w:pPr>
          </w:p>
        </w:tc>
        <w:tc>
          <w:tcPr>
            <w:tcW w:w="2338" w:type="dxa"/>
          </w:tcPr>
          <w:p w14:paraId="68E8E963" w14:textId="77777777" w:rsidR="00C669B7" w:rsidRDefault="00C669B7" w:rsidP="00447909">
            <w:pPr>
              <w:pStyle w:val="NoSpacing"/>
              <w:rPr>
                <w:rFonts w:ascii="Century Gothic" w:hAnsi="Century Gothic"/>
              </w:rPr>
            </w:pPr>
          </w:p>
        </w:tc>
      </w:tr>
      <w:tr w:rsidR="00C669B7" w14:paraId="0F32DBF8" w14:textId="77777777" w:rsidTr="00447909">
        <w:tc>
          <w:tcPr>
            <w:tcW w:w="2337" w:type="dxa"/>
          </w:tcPr>
          <w:p w14:paraId="3DAA4B62" w14:textId="1180C9E4" w:rsidR="00C669B7" w:rsidRDefault="00C669B7" w:rsidP="00447909">
            <w:pPr>
              <w:pStyle w:val="NoSpacing"/>
              <w:rPr>
                <w:rFonts w:ascii="Century Gothic" w:hAnsi="Century Gothic"/>
              </w:rPr>
            </w:pPr>
            <w:r>
              <w:rPr>
                <w:rFonts w:ascii="Century Gothic" w:hAnsi="Century Gothic"/>
              </w:rPr>
              <w:t>Q</w:t>
            </w:r>
            <w:r w:rsidR="00AA7394">
              <w:rPr>
                <w:rFonts w:ascii="Century Gothic" w:hAnsi="Century Gothic"/>
              </w:rPr>
              <w:t>C</w:t>
            </w:r>
            <w:r>
              <w:rPr>
                <w:rFonts w:ascii="Century Gothic" w:hAnsi="Century Gothic"/>
              </w:rPr>
              <w:t xml:space="preserve"> charges</w:t>
            </w:r>
          </w:p>
        </w:tc>
        <w:tc>
          <w:tcPr>
            <w:tcW w:w="2337" w:type="dxa"/>
          </w:tcPr>
          <w:p w14:paraId="491AC1D9" w14:textId="77777777" w:rsidR="00C669B7" w:rsidRDefault="00C669B7" w:rsidP="00447909">
            <w:pPr>
              <w:pStyle w:val="NoSpacing"/>
              <w:rPr>
                <w:rFonts w:ascii="Century Gothic" w:hAnsi="Century Gothic"/>
              </w:rPr>
            </w:pPr>
            <w:r>
              <w:rPr>
                <w:rFonts w:ascii="Century Gothic" w:hAnsi="Century Gothic"/>
              </w:rPr>
              <w:t xml:space="preserve">            284,000</w:t>
            </w:r>
          </w:p>
        </w:tc>
        <w:tc>
          <w:tcPr>
            <w:tcW w:w="2338" w:type="dxa"/>
          </w:tcPr>
          <w:p w14:paraId="228B741B" w14:textId="77777777" w:rsidR="00C669B7" w:rsidRDefault="00C669B7" w:rsidP="00447909">
            <w:pPr>
              <w:pStyle w:val="NoSpacing"/>
              <w:rPr>
                <w:rFonts w:ascii="Century Gothic" w:hAnsi="Century Gothic"/>
              </w:rPr>
            </w:pPr>
          </w:p>
        </w:tc>
        <w:tc>
          <w:tcPr>
            <w:tcW w:w="2338" w:type="dxa"/>
          </w:tcPr>
          <w:p w14:paraId="5AF1F438" w14:textId="77777777" w:rsidR="00C669B7" w:rsidRDefault="00C669B7" w:rsidP="00447909">
            <w:pPr>
              <w:pStyle w:val="NoSpacing"/>
              <w:rPr>
                <w:rFonts w:ascii="Century Gothic" w:hAnsi="Century Gothic"/>
              </w:rPr>
            </w:pPr>
          </w:p>
        </w:tc>
      </w:tr>
      <w:tr w:rsidR="00C669B7" w14:paraId="7F5C2D47" w14:textId="77777777" w:rsidTr="00447909">
        <w:tc>
          <w:tcPr>
            <w:tcW w:w="2337" w:type="dxa"/>
          </w:tcPr>
          <w:p w14:paraId="2D2D617B" w14:textId="5B50D3EE" w:rsidR="00C669B7" w:rsidRDefault="00AA7394" w:rsidP="00447909">
            <w:pPr>
              <w:pStyle w:val="NoSpacing"/>
              <w:rPr>
                <w:rFonts w:ascii="Century Gothic" w:hAnsi="Century Gothic"/>
              </w:rPr>
            </w:pPr>
            <w:r>
              <w:rPr>
                <w:rFonts w:ascii="Century Gothic" w:hAnsi="Century Gothic"/>
              </w:rPr>
              <w:t>Factory</w:t>
            </w:r>
            <w:r w:rsidR="00C669B7">
              <w:rPr>
                <w:rFonts w:ascii="Century Gothic" w:hAnsi="Century Gothic"/>
              </w:rPr>
              <w:t xml:space="preserve"> charges</w:t>
            </w:r>
          </w:p>
        </w:tc>
        <w:tc>
          <w:tcPr>
            <w:tcW w:w="2337" w:type="dxa"/>
          </w:tcPr>
          <w:p w14:paraId="410181DA" w14:textId="77777777" w:rsidR="00C669B7" w:rsidRDefault="00C669B7" w:rsidP="00447909">
            <w:pPr>
              <w:pStyle w:val="NoSpacing"/>
              <w:rPr>
                <w:rFonts w:ascii="Century Gothic" w:hAnsi="Century Gothic"/>
              </w:rPr>
            </w:pPr>
            <w:r>
              <w:rPr>
                <w:rFonts w:ascii="Century Gothic" w:hAnsi="Century Gothic"/>
              </w:rPr>
              <w:t xml:space="preserve">         1,780,000</w:t>
            </w:r>
          </w:p>
        </w:tc>
        <w:tc>
          <w:tcPr>
            <w:tcW w:w="2338" w:type="dxa"/>
          </w:tcPr>
          <w:p w14:paraId="71DF5DB0" w14:textId="77777777" w:rsidR="00C669B7" w:rsidRDefault="00C669B7" w:rsidP="00447909">
            <w:pPr>
              <w:pStyle w:val="NoSpacing"/>
              <w:rPr>
                <w:rFonts w:ascii="Century Gothic" w:hAnsi="Century Gothic"/>
              </w:rPr>
            </w:pPr>
          </w:p>
        </w:tc>
        <w:tc>
          <w:tcPr>
            <w:tcW w:w="2338" w:type="dxa"/>
          </w:tcPr>
          <w:p w14:paraId="211A0C72" w14:textId="77777777" w:rsidR="00C669B7" w:rsidRDefault="00C669B7" w:rsidP="00447909">
            <w:pPr>
              <w:pStyle w:val="NoSpacing"/>
              <w:rPr>
                <w:rFonts w:ascii="Century Gothic" w:hAnsi="Century Gothic"/>
              </w:rPr>
            </w:pPr>
          </w:p>
        </w:tc>
      </w:tr>
      <w:tr w:rsidR="00C669B7" w14:paraId="1B0F7203" w14:textId="77777777" w:rsidTr="00447909">
        <w:tc>
          <w:tcPr>
            <w:tcW w:w="2337" w:type="dxa"/>
          </w:tcPr>
          <w:p w14:paraId="0E420205" w14:textId="77777777" w:rsidR="00C669B7" w:rsidRDefault="00C669B7" w:rsidP="00447909">
            <w:pPr>
              <w:pStyle w:val="NoSpacing"/>
              <w:rPr>
                <w:rFonts w:ascii="Century Gothic" w:hAnsi="Century Gothic"/>
              </w:rPr>
            </w:pPr>
            <w:r>
              <w:rPr>
                <w:rFonts w:ascii="Century Gothic" w:hAnsi="Century Gothic"/>
              </w:rPr>
              <w:t>Depreciation</w:t>
            </w:r>
          </w:p>
        </w:tc>
        <w:tc>
          <w:tcPr>
            <w:tcW w:w="2337" w:type="dxa"/>
          </w:tcPr>
          <w:p w14:paraId="15542BCC" w14:textId="77777777" w:rsidR="00C669B7" w:rsidRDefault="00C669B7" w:rsidP="00447909">
            <w:pPr>
              <w:pStyle w:val="NoSpacing"/>
              <w:rPr>
                <w:rFonts w:ascii="Century Gothic" w:hAnsi="Century Gothic"/>
              </w:rPr>
            </w:pPr>
            <w:r>
              <w:rPr>
                <w:rFonts w:ascii="Century Gothic" w:hAnsi="Century Gothic"/>
              </w:rPr>
              <w:t xml:space="preserve">         4,126,000</w:t>
            </w:r>
          </w:p>
        </w:tc>
        <w:tc>
          <w:tcPr>
            <w:tcW w:w="2338" w:type="dxa"/>
          </w:tcPr>
          <w:p w14:paraId="5920EA81" w14:textId="77777777" w:rsidR="00C669B7" w:rsidRDefault="00C669B7" w:rsidP="00447909">
            <w:pPr>
              <w:pStyle w:val="NoSpacing"/>
              <w:rPr>
                <w:rFonts w:ascii="Century Gothic" w:hAnsi="Century Gothic"/>
              </w:rPr>
            </w:pPr>
            <w:r>
              <w:rPr>
                <w:rFonts w:ascii="Century Gothic" w:hAnsi="Century Gothic"/>
              </w:rPr>
              <w:t xml:space="preserve">        26,293,000</w:t>
            </w:r>
          </w:p>
        </w:tc>
        <w:tc>
          <w:tcPr>
            <w:tcW w:w="2338" w:type="dxa"/>
          </w:tcPr>
          <w:p w14:paraId="5ED135F2" w14:textId="77777777" w:rsidR="00C669B7" w:rsidRDefault="00C669B7" w:rsidP="00447909">
            <w:pPr>
              <w:pStyle w:val="NoSpacing"/>
              <w:rPr>
                <w:rFonts w:ascii="Century Gothic" w:hAnsi="Century Gothic"/>
              </w:rPr>
            </w:pPr>
            <w:r>
              <w:rPr>
                <w:rFonts w:ascii="Century Gothic" w:hAnsi="Century Gothic"/>
              </w:rPr>
              <w:t xml:space="preserve">        22,167,000</w:t>
            </w:r>
          </w:p>
        </w:tc>
      </w:tr>
      <w:tr w:rsidR="00C669B7" w14:paraId="4B0394A3" w14:textId="77777777" w:rsidTr="00447909">
        <w:tc>
          <w:tcPr>
            <w:tcW w:w="2337" w:type="dxa"/>
          </w:tcPr>
          <w:p w14:paraId="3A95A28D" w14:textId="77A97A26" w:rsidR="00C669B7" w:rsidRDefault="00C669B7" w:rsidP="00447909">
            <w:pPr>
              <w:pStyle w:val="NoSpacing"/>
              <w:rPr>
                <w:rFonts w:ascii="Century Gothic" w:hAnsi="Century Gothic"/>
              </w:rPr>
            </w:pPr>
            <w:r>
              <w:rPr>
                <w:rFonts w:ascii="Century Gothic" w:hAnsi="Century Gothic"/>
              </w:rPr>
              <w:t xml:space="preserve">GROSS PROFIT    AS </w:t>
            </w:r>
            <w:r w:rsidR="00643CF7">
              <w:rPr>
                <w:rFonts w:ascii="Century Gothic" w:hAnsi="Century Gothic"/>
              </w:rPr>
              <w:t>DEFINED</w:t>
            </w:r>
          </w:p>
        </w:tc>
        <w:tc>
          <w:tcPr>
            <w:tcW w:w="2337" w:type="dxa"/>
          </w:tcPr>
          <w:p w14:paraId="1989BD50" w14:textId="075F8CCE" w:rsidR="00C669B7" w:rsidRDefault="00C669B7" w:rsidP="00447909">
            <w:pPr>
              <w:pStyle w:val="NoSpacing"/>
              <w:rPr>
                <w:rFonts w:ascii="Century Gothic" w:hAnsi="Century Gothic"/>
              </w:rPr>
            </w:pPr>
          </w:p>
        </w:tc>
        <w:tc>
          <w:tcPr>
            <w:tcW w:w="2338" w:type="dxa"/>
          </w:tcPr>
          <w:p w14:paraId="5430617B" w14:textId="77777777" w:rsidR="00C669B7" w:rsidRDefault="00C669B7" w:rsidP="00447909">
            <w:pPr>
              <w:pStyle w:val="NoSpacing"/>
              <w:rPr>
                <w:rFonts w:ascii="Century Gothic" w:hAnsi="Century Gothic"/>
              </w:rPr>
            </w:pPr>
            <w:r>
              <w:rPr>
                <w:rFonts w:ascii="Century Gothic" w:hAnsi="Century Gothic"/>
              </w:rPr>
              <w:t xml:space="preserve">          2,907,000</w:t>
            </w:r>
          </w:p>
        </w:tc>
        <w:tc>
          <w:tcPr>
            <w:tcW w:w="2338" w:type="dxa"/>
          </w:tcPr>
          <w:p w14:paraId="5F188718" w14:textId="77777777" w:rsidR="00C669B7" w:rsidRDefault="00C669B7" w:rsidP="00447909">
            <w:pPr>
              <w:pStyle w:val="NoSpacing"/>
              <w:rPr>
                <w:rFonts w:ascii="Century Gothic" w:hAnsi="Century Gothic"/>
              </w:rPr>
            </w:pPr>
            <w:r>
              <w:rPr>
                <w:rFonts w:ascii="Century Gothic" w:hAnsi="Century Gothic"/>
              </w:rPr>
              <w:t xml:space="preserve">          7,033,000</w:t>
            </w:r>
          </w:p>
        </w:tc>
      </w:tr>
      <w:tr w:rsidR="00C669B7" w14:paraId="2106B594" w14:textId="77777777" w:rsidTr="00447909">
        <w:tc>
          <w:tcPr>
            <w:tcW w:w="2337" w:type="dxa"/>
          </w:tcPr>
          <w:p w14:paraId="636A00C9" w14:textId="77777777" w:rsidR="00C669B7" w:rsidRDefault="00C669B7" w:rsidP="00447909">
            <w:pPr>
              <w:pStyle w:val="NoSpacing"/>
              <w:rPr>
                <w:rFonts w:ascii="Century Gothic" w:hAnsi="Century Gothic"/>
              </w:rPr>
            </w:pPr>
          </w:p>
        </w:tc>
        <w:tc>
          <w:tcPr>
            <w:tcW w:w="2337" w:type="dxa"/>
          </w:tcPr>
          <w:p w14:paraId="74AD1B79" w14:textId="77777777" w:rsidR="00C669B7" w:rsidRDefault="00C669B7" w:rsidP="00447909">
            <w:pPr>
              <w:pStyle w:val="NoSpacing"/>
              <w:rPr>
                <w:rFonts w:ascii="Century Gothic" w:hAnsi="Century Gothic"/>
              </w:rPr>
            </w:pPr>
          </w:p>
        </w:tc>
        <w:tc>
          <w:tcPr>
            <w:tcW w:w="2338" w:type="dxa"/>
          </w:tcPr>
          <w:p w14:paraId="3003E5D9" w14:textId="77777777" w:rsidR="00C669B7" w:rsidRDefault="00C669B7" w:rsidP="00447909">
            <w:pPr>
              <w:pStyle w:val="NoSpacing"/>
              <w:rPr>
                <w:rFonts w:ascii="Century Gothic" w:hAnsi="Century Gothic"/>
              </w:rPr>
            </w:pPr>
          </w:p>
        </w:tc>
        <w:tc>
          <w:tcPr>
            <w:tcW w:w="2338" w:type="dxa"/>
          </w:tcPr>
          <w:p w14:paraId="20957719" w14:textId="77777777" w:rsidR="00C669B7" w:rsidRDefault="00C669B7" w:rsidP="00447909">
            <w:pPr>
              <w:pStyle w:val="NoSpacing"/>
              <w:rPr>
                <w:rFonts w:ascii="Century Gothic" w:hAnsi="Century Gothic"/>
              </w:rPr>
            </w:pPr>
          </w:p>
        </w:tc>
      </w:tr>
      <w:tr w:rsidR="00C669B7" w14:paraId="60EF9D61" w14:textId="77777777" w:rsidTr="00447909">
        <w:tc>
          <w:tcPr>
            <w:tcW w:w="2337" w:type="dxa"/>
          </w:tcPr>
          <w:p w14:paraId="1970AAC9" w14:textId="78ADDDBE" w:rsidR="00C669B7" w:rsidRPr="00975CA7" w:rsidRDefault="00975CA7" w:rsidP="00447909">
            <w:pPr>
              <w:pStyle w:val="NoSpacing"/>
              <w:rPr>
                <w:rFonts w:ascii="Century Gothic" w:hAnsi="Century Gothic"/>
                <w:b/>
              </w:rPr>
            </w:pPr>
            <w:r>
              <w:rPr>
                <w:rFonts w:ascii="Century Gothic" w:hAnsi="Century Gothic"/>
              </w:rPr>
              <w:t xml:space="preserve">   </w:t>
            </w:r>
            <w:r w:rsidR="00572524" w:rsidRPr="00975CA7">
              <w:rPr>
                <w:rFonts w:ascii="Century Gothic" w:hAnsi="Century Gothic"/>
                <w:b/>
              </w:rPr>
              <w:t>Column I</w:t>
            </w:r>
          </w:p>
        </w:tc>
        <w:tc>
          <w:tcPr>
            <w:tcW w:w="2337" w:type="dxa"/>
          </w:tcPr>
          <w:p w14:paraId="1254A775" w14:textId="77777777" w:rsidR="00C669B7" w:rsidRDefault="00C669B7" w:rsidP="00447909">
            <w:pPr>
              <w:pStyle w:val="NoSpacing"/>
              <w:rPr>
                <w:rFonts w:ascii="Century Gothic" w:hAnsi="Century Gothic"/>
              </w:rPr>
            </w:pPr>
          </w:p>
        </w:tc>
        <w:tc>
          <w:tcPr>
            <w:tcW w:w="2338" w:type="dxa"/>
          </w:tcPr>
          <w:p w14:paraId="54A8DD17" w14:textId="77777777" w:rsidR="00C669B7" w:rsidRDefault="00C669B7" w:rsidP="00447909">
            <w:pPr>
              <w:pStyle w:val="NoSpacing"/>
              <w:rPr>
                <w:rFonts w:ascii="Century Gothic" w:hAnsi="Century Gothic"/>
              </w:rPr>
            </w:pPr>
          </w:p>
        </w:tc>
        <w:tc>
          <w:tcPr>
            <w:tcW w:w="2338" w:type="dxa"/>
          </w:tcPr>
          <w:p w14:paraId="6D368DED" w14:textId="77777777" w:rsidR="00C669B7" w:rsidRDefault="00C669B7" w:rsidP="00447909">
            <w:pPr>
              <w:pStyle w:val="NoSpacing"/>
              <w:rPr>
                <w:rFonts w:ascii="Century Gothic" w:hAnsi="Century Gothic"/>
              </w:rPr>
            </w:pPr>
          </w:p>
        </w:tc>
      </w:tr>
      <w:tr w:rsidR="00C669B7" w14:paraId="6E1E4283" w14:textId="77777777" w:rsidTr="00447909">
        <w:tc>
          <w:tcPr>
            <w:tcW w:w="2337" w:type="dxa"/>
          </w:tcPr>
          <w:p w14:paraId="63757BCF" w14:textId="04762981" w:rsidR="00C669B7" w:rsidRPr="00AA7394" w:rsidRDefault="00C669B7" w:rsidP="00447909">
            <w:pPr>
              <w:pStyle w:val="NoSpacing"/>
              <w:rPr>
                <w:rFonts w:ascii="Century Gothic" w:hAnsi="Century Gothic"/>
                <w:b/>
              </w:rPr>
            </w:pPr>
            <w:r w:rsidRPr="00AA7394">
              <w:rPr>
                <w:rFonts w:ascii="Century Gothic" w:hAnsi="Century Gothic"/>
                <w:b/>
              </w:rPr>
              <w:t>Rate of GP</w:t>
            </w:r>
          </w:p>
        </w:tc>
        <w:tc>
          <w:tcPr>
            <w:tcW w:w="2337" w:type="dxa"/>
          </w:tcPr>
          <w:p w14:paraId="2D1BB1C8" w14:textId="77777777" w:rsidR="00C669B7" w:rsidRDefault="00C669B7" w:rsidP="00447909">
            <w:pPr>
              <w:pStyle w:val="NoSpacing"/>
              <w:rPr>
                <w:rFonts w:ascii="Century Gothic" w:hAnsi="Century Gothic"/>
              </w:rPr>
            </w:pPr>
          </w:p>
        </w:tc>
        <w:tc>
          <w:tcPr>
            <w:tcW w:w="2338" w:type="dxa"/>
          </w:tcPr>
          <w:p w14:paraId="1A80099E" w14:textId="77777777" w:rsidR="00C669B7" w:rsidRDefault="00C669B7" w:rsidP="00447909">
            <w:pPr>
              <w:pStyle w:val="NoSpacing"/>
              <w:rPr>
                <w:rFonts w:ascii="Century Gothic" w:hAnsi="Century Gothic"/>
              </w:rPr>
            </w:pPr>
          </w:p>
        </w:tc>
        <w:tc>
          <w:tcPr>
            <w:tcW w:w="2338" w:type="dxa"/>
          </w:tcPr>
          <w:p w14:paraId="3CFDC292" w14:textId="77777777" w:rsidR="00C669B7" w:rsidRDefault="00C669B7" w:rsidP="00447909">
            <w:pPr>
              <w:pStyle w:val="NoSpacing"/>
              <w:rPr>
                <w:rFonts w:ascii="Century Gothic" w:hAnsi="Century Gothic"/>
              </w:rPr>
            </w:pPr>
          </w:p>
        </w:tc>
      </w:tr>
      <w:tr w:rsidR="00C669B7" w14:paraId="08C9B648" w14:textId="77777777" w:rsidTr="00447909">
        <w:tc>
          <w:tcPr>
            <w:tcW w:w="2337" w:type="dxa"/>
          </w:tcPr>
          <w:p w14:paraId="19EA95E0" w14:textId="77777777" w:rsidR="00C669B7" w:rsidRDefault="00C669B7" w:rsidP="00447909">
            <w:pPr>
              <w:pStyle w:val="NoSpacing"/>
              <w:rPr>
                <w:rFonts w:ascii="Century Gothic" w:hAnsi="Century Gothic"/>
              </w:rPr>
            </w:pPr>
          </w:p>
        </w:tc>
        <w:tc>
          <w:tcPr>
            <w:tcW w:w="2337" w:type="dxa"/>
          </w:tcPr>
          <w:p w14:paraId="578476A2" w14:textId="77777777" w:rsidR="00C669B7" w:rsidRDefault="00C669B7" w:rsidP="00447909">
            <w:pPr>
              <w:pStyle w:val="NoSpacing"/>
              <w:rPr>
                <w:rFonts w:ascii="Century Gothic" w:hAnsi="Century Gothic"/>
              </w:rPr>
            </w:pPr>
          </w:p>
        </w:tc>
        <w:tc>
          <w:tcPr>
            <w:tcW w:w="2338" w:type="dxa"/>
          </w:tcPr>
          <w:p w14:paraId="0FC810E7" w14:textId="77777777" w:rsidR="00C669B7" w:rsidRDefault="00C669B7" w:rsidP="00447909">
            <w:pPr>
              <w:pStyle w:val="NoSpacing"/>
              <w:rPr>
                <w:rFonts w:ascii="Century Gothic" w:hAnsi="Century Gothic"/>
              </w:rPr>
            </w:pPr>
          </w:p>
        </w:tc>
        <w:tc>
          <w:tcPr>
            <w:tcW w:w="2338" w:type="dxa"/>
          </w:tcPr>
          <w:p w14:paraId="093D1E8D" w14:textId="77777777" w:rsidR="00C669B7" w:rsidRDefault="00C669B7" w:rsidP="00447909">
            <w:pPr>
              <w:pStyle w:val="NoSpacing"/>
              <w:rPr>
                <w:rFonts w:ascii="Century Gothic" w:hAnsi="Century Gothic"/>
              </w:rPr>
            </w:pPr>
          </w:p>
        </w:tc>
      </w:tr>
      <w:tr w:rsidR="00C669B7" w14:paraId="4E51D53D" w14:textId="77777777" w:rsidTr="00447909">
        <w:tc>
          <w:tcPr>
            <w:tcW w:w="2337" w:type="dxa"/>
          </w:tcPr>
          <w:p w14:paraId="3D629E54" w14:textId="31EC77B2" w:rsidR="00C669B7" w:rsidRDefault="00C669B7" w:rsidP="00447909">
            <w:pPr>
              <w:pStyle w:val="NoSpacing"/>
              <w:rPr>
                <w:rFonts w:ascii="Century Gothic" w:hAnsi="Century Gothic"/>
              </w:rPr>
            </w:pPr>
            <w:r>
              <w:rPr>
                <w:rFonts w:ascii="Century Gothic" w:hAnsi="Century Gothic"/>
              </w:rPr>
              <w:t xml:space="preserve">        2,907,000       </w:t>
            </w:r>
            <w:r w:rsidR="008F60FF">
              <w:rPr>
                <w:rFonts w:ascii="Century Gothic" w:hAnsi="Century Gothic"/>
              </w:rPr>
              <w:t>x</w:t>
            </w:r>
          </w:p>
        </w:tc>
        <w:tc>
          <w:tcPr>
            <w:tcW w:w="2337" w:type="dxa"/>
          </w:tcPr>
          <w:p w14:paraId="0B60E2DF" w14:textId="44EFBD48" w:rsidR="00C669B7" w:rsidRDefault="00C669B7" w:rsidP="00447909">
            <w:pPr>
              <w:pStyle w:val="NoSpacing"/>
              <w:rPr>
                <w:rFonts w:ascii="Century Gothic" w:hAnsi="Century Gothic"/>
              </w:rPr>
            </w:pPr>
            <w:r>
              <w:rPr>
                <w:rFonts w:ascii="Century Gothic" w:hAnsi="Century Gothic"/>
              </w:rPr>
              <w:t>100 = 10.38</w:t>
            </w:r>
            <w:r w:rsidR="007A1181">
              <w:rPr>
                <w:rFonts w:ascii="Century Gothic" w:hAnsi="Century Gothic"/>
              </w:rPr>
              <w:t xml:space="preserve"> </w:t>
            </w:r>
            <w:r>
              <w:rPr>
                <w:rFonts w:ascii="Century Gothic" w:hAnsi="Century Gothic"/>
              </w:rPr>
              <w:t>%</w:t>
            </w:r>
          </w:p>
        </w:tc>
        <w:tc>
          <w:tcPr>
            <w:tcW w:w="2338" w:type="dxa"/>
          </w:tcPr>
          <w:p w14:paraId="1EEC3D23" w14:textId="77777777" w:rsidR="00C669B7" w:rsidRDefault="00C669B7" w:rsidP="00447909">
            <w:pPr>
              <w:pStyle w:val="NoSpacing"/>
              <w:rPr>
                <w:rFonts w:ascii="Century Gothic" w:hAnsi="Century Gothic"/>
              </w:rPr>
            </w:pPr>
          </w:p>
        </w:tc>
        <w:tc>
          <w:tcPr>
            <w:tcW w:w="2338" w:type="dxa"/>
          </w:tcPr>
          <w:p w14:paraId="67F21D10" w14:textId="77777777" w:rsidR="00C669B7" w:rsidRDefault="00C669B7" w:rsidP="00447909">
            <w:pPr>
              <w:pStyle w:val="NoSpacing"/>
              <w:rPr>
                <w:rFonts w:ascii="Century Gothic" w:hAnsi="Century Gothic"/>
              </w:rPr>
            </w:pPr>
          </w:p>
        </w:tc>
      </w:tr>
      <w:tr w:rsidR="00C669B7" w14:paraId="3A0B43E5" w14:textId="77777777" w:rsidTr="00447909">
        <w:tc>
          <w:tcPr>
            <w:tcW w:w="2337" w:type="dxa"/>
          </w:tcPr>
          <w:p w14:paraId="346E6A9D" w14:textId="77777777" w:rsidR="00C669B7" w:rsidRDefault="00C669B7" w:rsidP="00447909">
            <w:pPr>
              <w:pStyle w:val="NoSpacing"/>
              <w:rPr>
                <w:rFonts w:ascii="Century Gothic" w:hAnsi="Century Gothic"/>
              </w:rPr>
            </w:pPr>
            <w:r>
              <w:rPr>
                <w:rFonts w:ascii="Century Gothic" w:hAnsi="Century Gothic"/>
              </w:rPr>
              <w:t xml:space="preserve">      28,000,000</w:t>
            </w:r>
          </w:p>
        </w:tc>
        <w:tc>
          <w:tcPr>
            <w:tcW w:w="2337" w:type="dxa"/>
          </w:tcPr>
          <w:p w14:paraId="0AFCE0A1" w14:textId="77777777" w:rsidR="00C669B7" w:rsidRDefault="00C669B7" w:rsidP="00447909">
            <w:pPr>
              <w:pStyle w:val="NoSpacing"/>
              <w:rPr>
                <w:rFonts w:ascii="Century Gothic" w:hAnsi="Century Gothic"/>
              </w:rPr>
            </w:pPr>
          </w:p>
        </w:tc>
        <w:tc>
          <w:tcPr>
            <w:tcW w:w="2338" w:type="dxa"/>
          </w:tcPr>
          <w:p w14:paraId="224240EE" w14:textId="77777777" w:rsidR="00C669B7" w:rsidRDefault="00C669B7" w:rsidP="00447909">
            <w:pPr>
              <w:pStyle w:val="NoSpacing"/>
              <w:rPr>
                <w:rFonts w:ascii="Century Gothic" w:hAnsi="Century Gothic"/>
              </w:rPr>
            </w:pPr>
          </w:p>
        </w:tc>
        <w:tc>
          <w:tcPr>
            <w:tcW w:w="2338" w:type="dxa"/>
          </w:tcPr>
          <w:p w14:paraId="62C1A607" w14:textId="77777777" w:rsidR="00C669B7" w:rsidRDefault="00C669B7" w:rsidP="00447909">
            <w:pPr>
              <w:pStyle w:val="NoSpacing"/>
              <w:rPr>
                <w:rFonts w:ascii="Century Gothic" w:hAnsi="Century Gothic"/>
              </w:rPr>
            </w:pPr>
          </w:p>
        </w:tc>
      </w:tr>
      <w:tr w:rsidR="00C669B7" w14:paraId="5B7F855D" w14:textId="77777777" w:rsidTr="00447909">
        <w:tc>
          <w:tcPr>
            <w:tcW w:w="2337" w:type="dxa"/>
          </w:tcPr>
          <w:p w14:paraId="5D386A80" w14:textId="77777777" w:rsidR="00C669B7" w:rsidRDefault="00C669B7" w:rsidP="00447909">
            <w:pPr>
              <w:pStyle w:val="NoSpacing"/>
              <w:rPr>
                <w:rFonts w:ascii="Century Gothic" w:hAnsi="Century Gothic"/>
              </w:rPr>
            </w:pPr>
          </w:p>
        </w:tc>
        <w:tc>
          <w:tcPr>
            <w:tcW w:w="2337" w:type="dxa"/>
          </w:tcPr>
          <w:p w14:paraId="585AA72F" w14:textId="77777777" w:rsidR="00C669B7" w:rsidRDefault="00C669B7" w:rsidP="00447909">
            <w:pPr>
              <w:pStyle w:val="NoSpacing"/>
              <w:rPr>
                <w:rFonts w:ascii="Century Gothic" w:hAnsi="Century Gothic"/>
              </w:rPr>
            </w:pPr>
          </w:p>
        </w:tc>
        <w:tc>
          <w:tcPr>
            <w:tcW w:w="2338" w:type="dxa"/>
          </w:tcPr>
          <w:p w14:paraId="28CCAB7D" w14:textId="77777777" w:rsidR="00C669B7" w:rsidRDefault="00C669B7" w:rsidP="00447909">
            <w:pPr>
              <w:pStyle w:val="NoSpacing"/>
              <w:rPr>
                <w:rFonts w:ascii="Century Gothic" w:hAnsi="Century Gothic"/>
              </w:rPr>
            </w:pPr>
          </w:p>
        </w:tc>
        <w:tc>
          <w:tcPr>
            <w:tcW w:w="2338" w:type="dxa"/>
          </w:tcPr>
          <w:p w14:paraId="4EDBA616" w14:textId="77777777" w:rsidR="00C669B7" w:rsidRDefault="00C669B7" w:rsidP="00447909">
            <w:pPr>
              <w:pStyle w:val="NoSpacing"/>
              <w:rPr>
                <w:rFonts w:ascii="Century Gothic" w:hAnsi="Century Gothic"/>
              </w:rPr>
            </w:pPr>
          </w:p>
        </w:tc>
      </w:tr>
      <w:tr w:rsidR="00C669B7" w14:paraId="28A9C54E" w14:textId="77777777" w:rsidTr="00447909">
        <w:tc>
          <w:tcPr>
            <w:tcW w:w="2337" w:type="dxa"/>
          </w:tcPr>
          <w:p w14:paraId="462C25CA" w14:textId="79939BBB" w:rsidR="00C669B7" w:rsidRPr="00975CA7" w:rsidRDefault="00975CA7" w:rsidP="00447909">
            <w:pPr>
              <w:pStyle w:val="NoSpacing"/>
              <w:rPr>
                <w:rFonts w:ascii="Century Gothic" w:hAnsi="Century Gothic"/>
                <w:b/>
              </w:rPr>
            </w:pPr>
            <w:r w:rsidRPr="00975CA7">
              <w:rPr>
                <w:rFonts w:ascii="Century Gothic" w:hAnsi="Century Gothic"/>
                <w:b/>
              </w:rPr>
              <w:t xml:space="preserve">   Column II</w:t>
            </w:r>
          </w:p>
        </w:tc>
        <w:tc>
          <w:tcPr>
            <w:tcW w:w="2337" w:type="dxa"/>
          </w:tcPr>
          <w:p w14:paraId="26B28A87" w14:textId="77777777" w:rsidR="00C669B7" w:rsidRDefault="00C669B7" w:rsidP="00447909">
            <w:pPr>
              <w:pStyle w:val="NoSpacing"/>
              <w:rPr>
                <w:rFonts w:ascii="Century Gothic" w:hAnsi="Century Gothic"/>
              </w:rPr>
            </w:pPr>
          </w:p>
        </w:tc>
        <w:tc>
          <w:tcPr>
            <w:tcW w:w="2338" w:type="dxa"/>
          </w:tcPr>
          <w:p w14:paraId="2A793636" w14:textId="77777777" w:rsidR="00C669B7" w:rsidRDefault="00C669B7" w:rsidP="00447909">
            <w:pPr>
              <w:pStyle w:val="NoSpacing"/>
              <w:rPr>
                <w:rFonts w:ascii="Century Gothic" w:hAnsi="Century Gothic"/>
              </w:rPr>
            </w:pPr>
          </w:p>
        </w:tc>
        <w:tc>
          <w:tcPr>
            <w:tcW w:w="2338" w:type="dxa"/>
          </w:tcPr>
          <w:p w14:paraId="07216EF1" w14:textId="77777777" w:rsidR="00C669B7" w:rsidRDefault="00C669B7" w:rsidP="00447909">
            <w:pPr>
              <w:pStyle w:val="NoSpacing"/>
              <w:rPr>
                <w:rFonts w:ascii="Century Gothic" w:hAnsi="Century Gothic"/>
              </w:rPr>
            </w:pPr>
          </w:p>
        </w:tc>
      </w:tr>
      <w:tr w:rsidR="00C669B7" w14:paraId="3D4457A3" w14:textId="77777777" w:rsidTr="00447909">
        <w:tc>
          <w:tcPr>
            <w:tcW w:w="2337" w:type="dxa"/>
          </w:tcPr>
          <w:p w14:paraId="14030C31" w14:textId="473FE727" w:rsidR="00C669B7" w:rsidRPr="00AA7394" w:rsidRDefault="00C669B7" w:rsidP="00447909">
            <w:pPr>
              <w:pStyle w:val="NoSpacing"/>
              <w:rPr>
                <w:rFonts w:ascii="Century Gothic" w:hAnsi="Century Gothic"/>
                <w:b/>
              </w:rPr>
            </w:pPr>
            <w:r w:rsidRPr="00AA7394">
              <w:rPr>
                <w:rFonts w:ascii="Century Gothic" w:hAnsi="Century Gothic"/>
                <w:b/>
              </w:rPr>
              <w:t>Rate of GP</w:t>
            </w:r>
          </w:p>
        </w:tc>
        <w:tc>
          <w:tcPr>
            <w:tcW w:w="2337" w:type="dxa"/>
          </w:tcPr>
          <w:p w14:paraId="53F778E2" w14:textId="77777777" w:rsidR="00C669B7" w:rsidRDefault="00C669B7" w:rsidP="00447909">
            <w:pPr>
              <w:pStyle w:val="NoSpacing"/>
              <w:rPr>
                <w:rFonts w:ascii="Century Gothic" w:hAnsi="Century Gothic"/>
              </w:rPr>
            </w:pPr>
          </w:p>
        </w:tc>
        <w:tc>
          <w:tcPr>
            <w:tcW w:w="2338" w:type="dxa"/>
          </w:tcPr>
          <w:p w14:paraId="57E56212" w14:textId="77777777" w:rsidR="00C669B7" w:rsidRDefault="00C669B7" w:rsidP="00447909">
            <w:pPr>
              <w:pStyle w:val="NoSpacing"/>
              <w:rPr>
                <w:rFonts w:ascii="Century Gothic" w:hAnsi="Century Gothic"/>
              </w:rPr>
            </w:pPr>
          </w:p>
        </w:tc>
        <w:tc>
          <w:tcPr>
            <w:tcW w:w="2338" w:type="dxa"/>
          </w:tcPr>
          <w:p w14:paraId="15F042EE" w14:textId="77777777" w:rsidR="00C669B7" w:rsidRDefault="00C669B7" w:rsidP="00447909">
            <w:pPr>
              <w:pStyle w:val="NoSpacing"/>
              <w:rPr>
                <w:rFonts w:ascii="Century Gothic" w:hAnsi="Century Gothic"/>
              </w:rPr>
            </w:pPr>
          </w:p>
        </w:tc>
      </w:tr>
      <w:tr w:rsidR="00C669B7" w14:paraId="5D31EABC" w14:textId="77777777" w:rsidTr="00447909">
        <w:tc>
          <w:tcPr>
            <w:tcW w:w="2337" w:type="dxa"/>
          </w:tcPr>
          <w:p w14:paraId="01E2E461" w14:textId="59B552D8" w:rsidR="00C669B7" w:rsidRDefault="00C669B7" w:rsidP="00447909">
            <w:pPr>
              <w:pStyle w:val="NoSpacing"/>
              <w:rPr>
                <w:rFonts w:ascii="Century Gothic" w:hAnsi="Century Gothic"/>
              </w:rPr>
            </w:pPr>
            <w:r>
              <w:rPr>
                <w:rFonts w:ascii="Century Gothic" w:hAnsi="Century Gothic"/>
              </w:rPr>
              <w:t xml:space="preserve">         7,033,000      </w:t>
            </w:r>
            <w:r w:rsidR="00447909">
              <w:rPr>
                <w:rFonts w:ascii="Century Gothic" w:hAnsi="Century Gothic"/>
              </w:rPr>
              <w:t>x</w:t>
            </w:r>
          </w:p>
        </w:tc>
        <w:tc>
          <w:tcPr>
            <w:tcW w:w="2337" w:type="dxa"/>
          </w:tcPr>
          <w:p w14:paraId="786020BF" w14:textId="3C3D43C8" w:rsidR="00C669B7" w:rsidRDefault="00C669B7" w:rsidP="00447909">
            <w:pPr>
              <w:pStyle w:val="NoSpacing"/>
              <w:rPr>
                <w:rFonts w:ascii="Century Gothic" w:hAnsi="Century Gothic"/>
              </w:rPr>
            </w:pPr>
            <w:r>
              <w:rPr>
                <w:rFonts w:ascii="Century Gothic" w:hAnsi="Century Gothic"/>
              </w:rPr>
              <w:t>100 =  25.11</w:t>
            </w:r>
            <w:r w:rsidR="007A1181">
              <w:rPr>
                <w:rFonts w:ascii="Century Gothic" w:hAnsi="Century Gothic"/>
              </w:rPr>
              <w:t xml:space="preserve"> </w:t>
            </w:r>
            <w:r>
              <w:rPr>
                <w:rFonts w:ascii="Century Gothic" w:hAnsi="Century Gothic"/>
              </w:rPr>
              <w:t>%</w:t>
            </w:r>
          </w:p>
        </w:tc>
        <w:tc>
          <w:tcPr>
            <w:tcW w:w="2338" w:type="dxa"/>
          </w:tcPr>
          <w:p w14:paraId="1AD5327B" w14:textId="77777777" w:rsidR="00C669B7" w:rsidRDefault="00C669B7" w:rsidP="00447909">
            <w:pPr>
              <w:pStyle w:val="NoSpacing"/>
              <w:rPr>
                <w:rFonts w:ascii="Century Gothic" w:hAnsi="Century Gothic"/>
              </w:rPr>
            </w:pPr>
          </w:p>
        </w:tc>
        <w:tc>
          <w:tcPr>
            <w:tcW w:w="2338" w:type="dxa"/>
          </w:tcPr>
          <w:p w14:paraId="7FFE633C" w14:textId="77777777" w:rsidR="00C669B7" w:rsidRDefault="00C669B7" w:rsidP="00447909">
            <w:pPr>
              <w:pStyle w:val="NoSpacing"/>
              <w:rPr>
                <w:rFonts w:ascii="Century Gothic" w:hAnsi="Century Gothic"/>
              </w:rPr>
            </w:pPr>
          </w:p>
        </w:tc>
      </w:tr>
      <w:tr w:rsidR="00C669B7" w14:paraId="290FA690" w14:textId="77777777" w:rsidTr="00447909">
        <w:tc>
          <w:tcPr>
            <w:tcW w:w="2337" w:type="dxa"/>
          </w:tcPr>
          <w:p w14:paraId="5F07048A" w14:textId="77777777" w:rsidR="00C669B7" w:rsidRDefault="00C669B7" w:rsidP="00447909">
            <w:pPr>
              <w:pStyle w:val="NoSpacing"/>
              <w:rPr>
                <w:rFonts w:ascii="Century Gothic" w:hAnsi="Century Gothic"/>
              </w:rPr>
            </w:pPr>
            <w:r>
              <w:rPr>
                <w:rFonts w:ascii="Century Gothic" w:hAnsi="Century Gothic"/>
              </w:rPr>
              <w:t xml:space="preserve">       28,000,000</w:t>
            </w:r>
          </w:p>
        </w:tc>
        <w:tc>
          <w:tcPr>
            <w:tcW w:w="2337" w:type="dxa"/>
          </w:tcPr>
          <w:p w14:paraId="2B45FE99" w14:textId="77777777" w:rsidR="00C669B7" w:rsidRDefault="00C669B7" w:rsidP="00447909">
            <w:pPr>
              <w:pStyle w:val="NoSpacing"/>
              <w:rPr>
                <w:rFonts w:ascii="Century Gothic" w:hAnsi="Century Gothic"/>
              </w:rPr>
            </w:pPr>
          </w:p>
        </w:tc>
        <w:tc>
          <w:tcPr>
            <w:tcW w:w="2338" w:type="dxa"/>
          </w:tcPr>
          <w:p w14:paraId="3744EC9A" w14:textId="77777777" w:rsidR="00C669B7" w:rsidRDefault="00C669B7" w:rsidP="00447909">
            <w:pPr>
              <w:pStyle w:val="NoSpacing"/>
              <w:rPr>
                <w:rFonts w:ascii="Century Gothic" w:hAnsi="Century Gothic"/>
              </w:rPr>
            </w:pPr>
          </w:p>
        </w:tc>
        <w:tc>
          <w:tcPr>
            <w:tcW w:w="2338" w:type="dxa"/>
          </w:tcPr>
          <w:p w14:paraId="6A35B28C" w14:textId="77777777" w:rsidR="00C669B7" w:rsidRDefault="00C669B7" w:rsidP="00447909">
            <w:pPr>
              <w:pStyle w:val="NoSpacing"/>
              <w:rPr>
                <w:rFonts w:ascii="Century Gothic" w:hAnsi="Century Gothic"/>
              </w:rPr>
            </w:pPr>
          </w:p>
        </w:tc>
      </w:tr>
      <w:tr w:rsidR="00C669B7" w14:paraId="46ECBEF2" w14:textId="77777777" w:rsidTr="00447909">
        <w:tc>
          <w:tcPr>
            <w:tcW w:w="2337" w:type="dxa"/>
          </w:tcPr>
          <w:p w14:paraId="5875A5E6" w14:textId="77777777" w:rsidR="00C669B7" w:rsidRDefault="00C669B7" w:rsidP="00447909">
            <w:pPr>
              <w:pStyle w:val="NoSpacing"/>
              <w:rPr>
                <w:rFonts w:ascii="Century Gothic" w:hAnsi="Century Gothic"/>
              </w:rPr>
            </w:pPr>
          </w:p>
        </w:tc>
        <w:tc>
          <w:tcPr>
            <w:tcW w:w="2337" w:type="dxa"/>
          </w:tcPr>
          <w:p w14:paraId="346A3C40" w14:textId="77777777" w:rsidR="00C669B7" w:rsidRDefault="00C669B7" w:rsidP="00447909">
            <w:pPr>
              <w:pStyle w:val="NoSpacing"/>
              <w:rPr>
                <w:rFonts w:ascii="Century Gothic" w:hAnsi="Century Gothic"/>
              </w:rPr>
            </w:pPr>
          </w:p>
        </w:tc>
        <w:tc>
          <w:tcPr>
            <w:tcW w:w="2338" w:type="dxa"/>
          </w:tcPr>
          <w:p w14:paraId="6A9638F7" w14:textId="77777777" w:rsidR="00C669B7" w:rsidRDefault="00C669B7" w:rsidP="00447909">
            <w:pPr>
              <w:pStyle w:val="NoSpacing"/>
              <w:rPr>
                <w:rFonts w:ascii="Century Gothic" w:hAnsi="Century Gothic"/>
              </w:rPr>
            </w:pPr>
          </w:p>
        </w:tc>
        <w:tc>
          <w:tcPr>
            <w:tcW w:w="2338" w:type="dxa"/>
          </w:tcPr>
          <w:p w14:paraId="20145424" w14:textId="77777777" w:rsidR="00C669B7" w:rsidRDefault="00C669B7" w:rsidP="00447909">
            <w:pPr>
              <w:pStyle w:val="NoSpacing"/>
              <w:rPr>
                <w:rFonts w:ascii="Century Gothic" w:hAnsi="Century Gothic"/>
              </w:rPr>
            </w:pPr>
          </w:p>
        </w:tc>
      </w:tr>
      <w:tr w:rsidR="00C669B7" w14:paraId="0F3F2E07" w14:textId="77777777" w:rsidTr="00447909">
        <w:trPr>
          <w:trHeight w:val="89"/>
        </w:trPr>
        <w:tc>
          <w:tcPr>
            <w:tcW w:w="2337" w:type="dxa"/>
          </w:tcPr>
          <w:p w14:paraId="036629E7" w14:textId="77777777" w:rsidR="00C669B7" w:rsidRDefault="00C669B7" w:rsidP="00447909">
            <w:pPr>
              <w:pStyle w:val="NoSpacing"/>
              <w:rPr>
                <w:rFonts w:ascii="Century Gothic" w:hAnsi="Century Gothic"/>
              </w:rPr>
            </w:pPr>
          </w:p>
        </w:tc>
        <w:tc>
          <w:tcPr>
            <w:tcW w:w="2337" w:type="dxa"/>
          </w:tcPr>
          <w:p w14:paraId="01622A2F" w14:textId="77777777" w:rsidR="00C669B7" w:rsidRDefault="00C669B7" w:rsidP="00447909">
            <w:pPr>
              <w:pStyle w:val="NoSpacing"/>
              <w:rPr>
                <w:rFonts w:ascii="Century Gothic" w:hAnsi="Century Gothic"/>
              </w:rPr>
            </w:pPr>
          </w:p>
        </w:tc>
        <w:tc>
          <w:tcPr>
            <w:tcW w:w="2338" w:type="dxa"/>
          </w:tcPr>
          <w:p w14:paraId="2DF90772" w14:textId="77777777" w:rsidR="00C669B7" w:rsidRDefault="00C669B7" w:rsidP="00447909">
            <w:pPr>
              <w:pStyle w:val="NoSpacing"/>
              <w:rPr>
                <w:rFonts w:ascii="Century Gothic" w:hAnsi="Century Gothic"/>
              </w:rPr>
            </w:pPr>
          </w:p>
        </w:tc>
        <w:tc>
          <w:tcPr>
            <w:tcW w:w="2338" w:type="dxa"/>
          </w:tcPr>
          <w:p w14:paraId="459F66FF" w14:textId="77777777" w:rsidR="00C669B7" w:rsidRDefault="00C669B7" w:rsidP="00447909">
            <w:pPr>
              <w:pStyle w:val="NoSpacing"/>
              <w:rPr>
                <w:rFonts w:ascii="Century Gothic" w:hAnsi="Century Gothic"/>
              </w:rPr>
            </w:pPr>
          </w:p>
        </w:tc>
      </w:tr>
    </w:tbl>
    <w:p w14:paraId="6A6FC983" w14:textId="77777777" w:rsidR="00BC0D59" w:rsidRDefault="00BC0D59" w:rsidP="00C27032">
      <w:pPr>
        <w:pStyle w:val="NoSpacing"/>
        <w:jc w:val="both"/>
        <w:rPr>
          <w:rFonts w:ascii="Century Gothic" w:hAnsi="Century Gothic"/>
        </w:rPr>
      </w:pPr>
    </w:p>
    <w:p w14:paraId="08F53ED9" w14:textId="32A235A7" w:rsidR="00C669B7" w:rsidRDefault="00547210" w:rsidP="00C27032">
      <w:pPr>
        <w:pStyle w:val="NoSpacing"/>
        <w:jc w:val="both"/>
        <w:rPr>
          <w:rFonts w:ascii="Century Gothic" w:hAnsi="Century Gothic"/>
        </w:rPr>
      </w:pPr>
      <w:r>
        <w:rPr>
          <w:rFonts w:ascii="Century Gothic" w:hAnsi="Century Gothic"/>
        </w:rPr>
        <w:t>Modulated figures are used for illustration purpose</w:t>
      </w:r>
      <w:r w:rsidR="00A71B83">
        <w:rPr>
          <w:rFonts w:ascii="Century Gothic" w:hAnsi="Century Gothic"/>
        </w:rPr>
        <w:t>s</w:t>
      </w:r>
      <w:r>
        <w:rPr>
          <w:rFonts w:ascii="Century Gothic" w:hAnsi="Century Gothic"/>
        </w:rPr>
        <w:t xml:space="preserve"> only. Any similarities or resemblance with past, present and future cases are purely coincidental</w:t>
      </w:r>
      <w:r w:rsidR="00970EEB">
        <w:rPr>
          <w:rFonts w:ascii="Century Gothic" w:hAnsi="Century Gothic"/>
        </w:rPr>
        <w:t>, unintentional and unrelated.</w:t>
      </w:r>
    </w:p>
    <w:p w14:paraId="5B794D26" w14:textId="77777777" w:rsidR="00547210" w:rsidRDefault="00547210" w:rsidP="00C27032">
      <w:pPr>
        <w:pStyle w:val="NoSpacing"/>
        <w:jc w:val="both"/>
        <w:rPr>
          <w:rFonts w:ascii="Century Gothic" w:hAnsi="Century Gothic"/>
        </w:rPr>
      </w:pPr>
    </w:p>
    <w:p w14:paraId="0C51958B" w14:textId="6EA60429" w:rsidR="00C669B7" w:rsidRDefault="00643CF7" w:rsidP="008F60FF">
      <w:pPr>
        <w:pStyle w:val="NoSpacing"/>
        <w:jc w:val="both"/>
        <w:rPr>
          <w:rFonts w:ascii="Century Gothic" w:hAnsi="Century Gothic"/>
        </w:rPr>
      </w:pPr>
      <w:r>
        <w:rPr>
          <w:rFonts w:ascii="Century Gothic" w:hAnsi="Century Gothic"/>
        </w:rPr>
        <w:t xml:space="preserve">Those who advocate that depreciation is </w:t>
      </w:r>
      <w:r w:rsidR="0099530D">
        <w:rPr>
          <w:rFonts w:ascii="Century Gothic" w:hAnsi="Century Gothic"/>
        </w:rPr>
        <w:t>not</w:t>
      </w:r>
      <w:r>
        <w:rPr>
          <w:rFonts w:ascii="Century Gothic" w:hAnsi="Century Gothic"/>
        </w:rPr>
        <w:t xml:space="preserve"> a </w:t>
      </w:r>
      <w:r w:rsidR="00D0035C">
        <w:rPr>
          <w:rFonts w:ascii="Century Gothic" w:hAnsi="Century Gothic"/>
        </w:rPr>
        <w:t>standing charge</w:t>
      </w:r>
      <w:r w:rsidR="002B0DA8">
        <w:rPr>
          <w:rFonts w:ascii="Century Gothic" w:hAnsi="Century Gothic"/>
        </w:rPr>
        <w:t xml:space="preserve"> (Column I)</w:t>
      </w:r>
      <w:r>
        <w:rPr>
          <w:rFonts w:ascii="Century Gothic" w:hAnsi="Century Gothic"/>
        </w:rPr>
        <w:t xml:space="preserve">, </w:t>
      </w:r>
      <w:r w:rsidR="00447909">
        <w:rPr>
          <w:rFonts w:ascii="Century Gothic" w:hAnsi="Century Gothic"/>
        </w:rPr>
        <w:t xml:space="preserve">then </w:t>
      </w:r>
      <w:r>
        <w:rPr>
          <w:rFonts w:ascii="Century Gothic" w:hAnsi="Century Gothic"/>
        </w:rPr>
        <w:t>the rate of gross profit is 10.3</w:t>
      </w:r>
      <w:r w:rsidR="00F65ED2">
        <w:rPr>
          <w:rFonts w:ascii="Century Gothic" w:hAnsi="Century Gothic"/>
        </w:rPr>
        <w:t>8</w:t>
      </w:r>
      <w:r>
        <w:rPr>
          <w:rFonts w:ascii="Century Gothic" w:hAnsi="Century Gothic"/>
        </w:rPr>
        <w:t>%</w:t>
      </w:r>
      <w:r w:rsidR="004205DD">
        <w:rPr>
          <w:rFonts w:ascii="Century Gothic" w:hAnsi="Century Gothic"/>
        </w:rPr>
        <w:t>.</w:t>
      </w:r>
    </w:p>
    <w:p w14:paraId="7E500CF9" w14:textId="77777777" w:rsidR="007D53A4" w:rsidRDefault="007D53A4" w:rsidP="008F60FF">
      <w:pPr>
        <w:pStyle w:val="NoSpacing"/>
        <w:jc w:val="both"/>
        <w:rPr>
          <w:rFonts w:ascii="Century Gothic" w:hAnsi="Century Gothic"/>
        </w:rPr>
      </w:pPr>
    </w:p>
    <w:p w14:paraId="53AEF415" w14:textId="4317ACE1" w:rsidR="00447909" w:rsidRDefault="00447909" w:rsidP="008F60FF">
      <w:pPr>
        <w:pStyle w:val="NoSpacing"/>
        <w:jc w:val="both"/>
        <w:rPr>
          <w:rFonts w:ascii="Century Gothic" w:hAnsi="Century Gothic"/>
        </w:rPr>
      </w:pPr>
      <w:r>
        <w:rPr>
          <w:rFonts w:ascii="Century Gothic" w:hAnsi="Century Gothic"/>
        </w:rPr>
        <w:t xml:space="preserve">Many who believe depreciation is a </w:t>
      </w:r>
      <w:r w:rsidR="00D0035C">
        <w:rPr>
          <w:rFonts w:ascii="Century Gothic" w:hAnsi="Century Gothic"/>
        </w:rPr>
        <w:t>standing charge</w:t>
      </w:r>
      <w:r w:rsidR="002B0DA8">
        <w:rPr>
          <w:rFonts w:ascii="Century Gothic" w:hAnsi="Century Gothic"/>
        </w:rPr>
        <w:t xml:space="preserve"> (Column II)</w:t>
      </w:r>
      <w:r>
        <w:rPr>
          <w:rFonts w:ascii="Century Gothic" w:hAnsi="Century Gothic"/>
        </w:rPr>
        <w:t>, the rate of gross profit is 25.11%.</w:t>
      </w:r>
      <w:r w:rsidR="00547210">
        <w:rPr>
          <w:rFonts w:ascii="Century Gothic" w:hAnsi="Century Gothic"/>
        </w:rPr>
        <w:t xml:space="preserve"> </w:t>
      </w:r>
    </w:p>
    <w:p w14:paraId="68728EBC" w14:textId="77777777" w:rsidR="002B0DA8" w:rsidRDefault="002B0DA8" w:rsidP="008F60FF">
      <w:pPr>
        <w:pStyle w:val="NoSpacing"/>
        <w:jc w:val="both"/>
        <w:rPr>
          <w:rFonts w:ascii="Century Gothic" w:hAnsi="Century Gothic"/>
        </w:rPr>
      </w:pPr>
    </w:p>
    <w:p w14:paraId="6E81A422" w14:textId="022F378B" w:rsidR="00447909" w:rsidRDefault="00447909" w:rsidP="008F60FF">
      <w:pPr>
        <w:pStyle w:val="NoSpacing"/>
        <w:jc w:val="both"/>
        <w:rPr>
          <w:rFonts w:ascii="Century Gothic" w:hAnsi="Century Gothic"/>
        </w:rPr>
      </w:pPr>
      <w:r>
        <w:rPr>
          <w:rFonts w:ascii="Century Gothic" w:hAnsi="Century Gothic"/>
        </w:rPr>
        <w:lastRenderedPageBreak/>
        <w:t>The rate of 25.11% is incongruous and unrealistic</w:t>
      </w:r>
      <w:r w:rsidR="004205DD">
        <w:rPr>
          <w:rFonts w:ascii="Century Gothic" w:hAnsi="Century Gothic"/>
        </w:rPr>
        <w:t xml:space="preserve"> when compared</w:t>
      </w:r>
      <w:r>
        <w:rPr>
          <w:rFonts w:ascii="Century Gothic" w:hAnsi="Century Gothic"/>
        </w:rPr>
        <w:t xml:space="preserve"> with the </w:t>
      </w:r>
      <w:r w:rsidR="00ED5DFF">
        <w:rPr>
          <w:rFonts w:ascii="Century Gothic" w:hAnsi="Century Gothic"/>
        </w:rPr>
        <w:t>manufacturing</w:t>
      </w:r>
      <w:r>
        <w:rPr>
          <w:rFonts w:ascii="Century Gothic" w:hAnsi="Century Gothic"/>
        </w:rPr>
        <w:t xml:space="preserve"> industry’s benchmark of gross profit margin</w:t>
      </w:r>
      <w:r w:rsidR="004205DD">
        <w:rPr>
          <w:rFonts w:ascii="Century Gothic" w:hAnsi="Century Gothic"/>
        </w:rPr>
        <w:t xml:space="preserve"> of </w:t>
      </w:r>
      <w:r>
        <w:rPr>
          <w:rFonts w:ascii="Century Gothic" w:hAnsi="Century Gothic"/>
        </w:rPr>
        <w:t>between 9.00</w:t>
      </w:r>
      <w:r w:rsidR="00BC0D59">
        <w:rPr>
          <w:rFonts w:ascii="Century Gothic" w:hAnsi="Century Gothic"/>
        </w:rPr>
        <w:t xml:space="preserve"> </w:t>
      </w:r>
      <w:r w:rsidR="004205DD">
        <w:rPr>
          <w:rFonts w:ascii="Century Gothic" w:hAnsi="Century Gothic"/>
        </w:rPr>
        <w:t>%</w:t>
      </w:r>
      <w:r>
        <w:rPr>
          <w:rFonts w:ascii="Century Gothic" w:hAnsi="Century Gothic"/>
        </w:rPr>
        <w:t xml:space="preserve"> to possibly 15.00</w:t>
      </w:r>
      <w:r w:rsidR="00BC0D59">
        <w:rPr>
          <w:rFonts w:ascii="Century Gothic" w:hAnsi="Century Gothic"/>
        </w:rPr>
        <w:t xml:space="preserve"> </w:t>
      </w:r>
      <w:r>
        <w:rPr>
          <w:rFonts w:ascii="Century Gothic" w:hAnsi="Century Gothic"/>
        </w:rPr>
        <w:t>% as a primary producer or s</w:t>
      </w:r>
      <w:r w:rsidR="000473F9">
        <w:rPr>
          <w:rFonts w:ascii="Century Gothic" w:hAnsi="Century Gothic"/>
        </w:rPr>
        <w:t>ource</w:t>
      </w:r>
      <w:r>
        <w:rPr>
          <w:rFonts w:ascii="Century Gothic" w:hAnsi="Century Gothic"/>
        </w:rPr>
        <w:t xml:space="preserve"> of the bulk </w:t>
      </w:r>
      <w:r w:rsidR="00790811">
        <w:rPr>
          <w:rFonts w:ascii="Century Gothic" w:hAnsi="Century Gothic"/>
        </w:rPr>
        <w:t xml:space="preserve">mass </w:t>
      </w:r>
      <w:r>
        <w:rPr>
          <w:rFonts w:ascii="Century Gothic" w:hAnsi="Century Gothic"/>
        </w:rPr>
        <w:t>product.</w:t>
      </w:r>
    </w:p>
    <w:p w14:paraId="4D4B827F" w14:textId="64DA10BC" w:rsidR="000326C0" w:rsidRDefault="000326C0" w:rsidP="008F60FF">
      <w:pPr>
        <w:pStyle w:val="NoSpacing"/>
        <w:jc w:val="both"/>
        <w:rPr>
          <w:rFonts w:ascii="Century Gothic" w:hAnsi="Century Gothic"/>
        </w:rPr>
      </w:pPr>
    </w:p>
    <w:p w14:paraId="1CC0EAE5" w14:textId="4929295D" w:rsidR="000326C0" w:rsidRDefault="000326C0" w:rsidP="008F60FF">
      <w:pPr>
        <w:pStyle w:val="NoSpacing"/>
        <w:jc w:val="both"/>
        <w:rPr>
          <w:rFonts w:ascii="Century Gothic" w:hAnsi="Century Gothic"/>
        </w:rPr>
      </w:pPr>
      <w:r>
        <w:rPr>
          <w:rFonts w:ascii="Century Gothic" w:hAnsi="Century Gothic"/>
        </w:rPr>
        <w:t xml:space="preserve">It is remarkable that the rate of depreciation </w:t>
      </w:r>
      <w:r w:rsidR="00697E2F">
        <w:rPr>
          <w:rFonts w:ascii="Century Gothic" w:hAnsi="Century Gothic"/>
        </w:rPr>
        <w:t xml:space="preserve">at </w:t>
      </w:r>
      <w:r>
        <w:rPr>
          <w:rFonts w:ascii="Century Gothic" w:hAnsi="Century Gothic"/>
        </w:rPr>
        <w:t>14.7</w:t>
      </w:r>
      <w:r w:rsidR="007A1181">
        <w:rPr>
          <w:rFonts w:ascii="Century Gothic" w:hAnsi="Century Gothic"/>
        </w:rPr>
        <w:t xml:space="preserve">4 </w:t>
      </w:r>
      <w:r>
        <w:rPr>
          <w:rFonts w:ascii="Century Gothic" w:hAnsi="Century Gothic"/>
        </w:rPr>
        <w:t>% to the turnover disproportionately exceeded the rate of gross profit</w:t>
      </w:r>
      <w:r w:rsidR="007A1181">
        <w:rPr>
          <w:rFonts w:ascii="Century Gothic" w:hAnsi="Century Gothic"/>
        </w:rPr>
        <w:t xml:space="preserve"> excluding depreciation </w:t>
      </w:r>
      <w:r>
        <w:rPr>
          <w:rFonts w:ascii="Century Gothic" w:hAnsi="Century Gothic"/>
        </w:rPr>
        <w:t>(10.38 %) as seen below:</w:t>
      </w:r>
    </w:p>
    <w:p w14:paraId="220F7B19" w14:textId="46F22A79" w:rsidR="000326C0" w:rsidRDefault="000326C0" w:rsidP="008F60FF">
      <w:pPr>
        <w:pStyle w:val="NoSpacing"/>
        <w:jc w:val="both"/>
        <w:rPr>
          <w:rFonts w:ascii="Century Gothic" w:hAnsi="Century Gothic"/>
        </w:rPr>
      </w:pPr>
    </w:p>
    <w:p w14:paraId="53544D3B" w14:textId="7A229F1A" w:rsidR="000326C0" w:rsidRPr="000326C0" w:rsidRDefault="000326C0" w:rsidP="008F60FF">
      <w:pPr>
        <w:pStyle w:val="NoSpacing"/>
        <w:jc w:val="both"/>
        <w:rPr>
          <w:rFonts w:ascii="Century Gothic" w:hAnsi="Century Gothic"/>
          <w:u w:val="single"/>
        </w:rPr>
      </w:pPr>
      <w:r>
        <w:rPr>
          <w:rFonts w:ascii="Century Gothic" w:hAnsi="Century Gothic"/>
        </w:rPr>
        <w:t xml:space="preserve">      </w:t>
      </w:r>
      <w:r w:rsidRPr="000326C0">
        <w:rPr>
          <w:rFonts w:ascii="Century Gothic" w:hAnsi="Century Gothic"/>
          <w:u w:val="single"/>
        </w:rPr>
        <w:t>4,126,000</w:t>
      </w:r>
      <w:r w:rsidRPr="000326C0">
        <w:rPr>
          <w:rFonts w:ascii="Century Gothic" w:hAnsi="Century Gothic"/>
        </w:rPr>
        <w:t xml:space="preserve">   x</w:t>
      </w:r>
      <w:r>
        <w:rPr>
          <w:rFonts w:ascii="Century Gothic" w:hAnsi="Century Gothic"/>
        </w:rPr>
        <w:t xml:space="preserve">   100  =  14.74 %</w:t>
      </w:r>
    </w:p>
    <w:p w14:paraId="048FD214" w14:textId="37AE7B20" w:rsidR="00C669B7" w:rsidRDefault="000326C0" w:rsidP="00C27032">
      <w:pPr>
        <w:pStyle w:val="NoSpacing"/>
        <w:jc w:val="both"/>
        <w:rPr>
          <w:rFonts w:ascii="Century Gothic" w:hAnsi="Century Gothic"/>
        </w:rPr>
      </w:pPr>
      <w:r>
        <w:rPr>
          <w:rFonts w:ascii="Century Gothic" w:hAnsi="Century Gothic"/>
        </w:rPr>
        <w:t xml:space="preserve">     28,000,000</w:t>
      </w:r>
    </w:p>
    <w:p w14:paraId="55EE5583" w14:textId="5BFC2FD4" w:rsidR="000326C0" w:rsidRDefault="000326C0" w:rsidP="00C27032">
      <w:pPr>
        <w:pStyle w:val="NoSpacing"/>
        <w:jc w:val="both"/>
        <w:rPr>
          <w:rFonts w:ascii="Century Gothic" w:hAnsi="Century Gothic"/>
        </w:rPr>
      </w:pPr>
    </w:p>
    <w:p w14:paraId="74C3BC57" w14:textId="273E2B52" w:rsidR="00116D46" w:rsidRDefault="00116D46" w:rsidP="00C27032">
      <w:pPr>
        <w:pStyle w:val="NoSpacing"/>
        <w:jc w:val="both"/>
        <w:rPr>
          <w:rFonts w:ascii="Century Gothic" w:hAnsi="Century Gothic"/>
        </w:rPr>
      </w:pPr>
      <w:r>
        <w:rPr>
          <w:rFonts w:ascii="Century Gothic" w:hAnsi="Century Gothic"/>
        </w:rPr>
        <w:t xml:space="preserve">In all circumstances, it would be highly improbable that the depreciation of </w:t>
      </w:r>
      <w:r w:rsidR="00794458">
        <w:rPr>
          <w:rFonts w:ascii="Century Gothic" w:hAnsi="Century Gothic"/>
        </w:rPr>
        <w:t>$</w:t>
      </w:r>
      <w:r>
        <w:rPr>
          <w:rFonts w:ascii="Century Gothic" w:hAnsi="Century Gothic"/>
        </w:rPr>
        <w:t xml:space="preserve">4 million will be </w:t>
      </w:r>
      <w:r w:rsidR="000D51B8">
        <w:rPr>
          <w:rFonts w:ascii="Century Gothic" w:hAnsi="Century Gothic"/>
        </w:rPr>
        <w:t>completely</w:t>
      </w:r>
      <w:r>
        <w:rPr>
          <w:rFonts w:ascii="Century Gothic" w:hAnsi="Century Gothic"/>
        </w:rPr>
        <w:t xml:space="preserve"> lost or indemnified</w:t>
      </w:r>
      <w:r w:rsidR="007A2A03">
        <w:rPr>
          <w:rFonts w:ascii="Century Gothic" w:hAnsi="Century Gothic"/>
        </w:rPr>
        <w:t>,</w:t>
      </w:r>
      <w:r>
        <w:rPr>
          <w:rFonts w:ascii="Century Gothic" w:hAnsi="Century Gothic"/>
        </w:rPr>
        <w:t xml:space="preserve"> </w:t>
      </w:r>
      <w:r w:rsidR="000D51B8">
        <w:rPr>
          <w:rFonts w:ascii="Century Gothic" w:hAnsi="Century Gothic"/>
        </w:rPr>
        <w:t xml:space="preserve">in the event of a Business interruption loss, </w:t>
      </w:r>
      <w:r>
        <w:rPr>
          <w:rFonts w:ascii="Century Gothic" w:hAnsi="Century Gothic"/>
        </w:rPr>
        <w:t>bearing in mind</w:t>
      </w:r>
      <w:r w:rsidR="007A2A03">
        <w:rPr>
          <w:rFonts w:ascii="Century Gothic" w:hAnsi="Century Gothic"/>
        </w:rPr>
        <w:t>,</w:t>
      </w:r>
      <w:r>
        <w:rPr>
          <w:rFonts w:ascii="Century Gothic" w:hAnsi="Century Gothic"/>
        </w:rPr>
        <w:t xml:space="preserve"> the plant and machinery are </w:t>
      </w:r>
      <w:r w:rsidR="000D51B8">
        <w:rPr>
          <w:rFonts w:ascii="Century Gothic" w:hAnsi="Century Gothic"/>
        </w:rPr>
        <w:t xml:space="preserve">mandatorily </w:t>
      </w:r>
      <w:r>
        <w:rPr>
          <w:rFonts w:ascii="Century Gothic" w:hAnsi="Century Gothic"/>
        </w:rPr>
        <w:t xml:space="preserve">well </w:t>
      </w:r>
      <w:r w:rsidR="000473F9">
        <w:rPr>
          <w:rFonts w:ascii="Century Gothic" w:hAnsi="Century Gothic"/>
        </w:rPr>
        <w:t>design</w:t>
      </w:r>
      <w:r w:rsidR="004F6B06">
        <w:rPr>
          <w:rFonts w:ascii="Century Gothic" w:hAnsi="Century Gothic"/>
        </w:rPr>
        <w:t xml:space="preserve">ated </w:t>
      </w:r>
      <w:r w:rsidR="007A2A03">
        <w:rPr>
          <w:rFonts w:ascii="Century Gothic" w:hAnsi="Century Gothic"/>
        </w:rPr>
        <w:t xml:space="preserve">and spaced </w:t>
      </w:r>
      <w:r>
        <w:rPr>
          <w:rFonts w:ascii="Century Gothic" w:hAnsi="Century Gothic"/>
        </w:rPr>
        <w:t xml:space="preserve">apart </w:t>
      </w:r>
      <w:r w:rsidR="007A2A03">
        <w:rPr>
          <w:rFonts w:ascii="Century Gothic" w:hAnsi="Century Gothic"/>
        </w:rPr>
        <w:t xml:space="preserve">in </w:t>
      </w:r>
      <w:r w:rsidR="008F0660">
        <w:rPr>
          <w:rFonts w:ascii="Century Gothic" w:hAnsi="Century Gothic"/>
        </w:rPr>
        <w:t>compliance</w:t>
      </w:r>
      <w:r w:rsidR="007A2A03">
        <w:rPr>
          <w:rFonts w:ascii="Century Gothic" w:hAnsi="Century Gothic"/>
        </w:rPr>
        <w:t xml:space="preserve"> with the Factor</w:t>
      </w:r>
      <w:r w:rsidR="008F0660">
        <w:rPr>
          <w:rFonts w:ascii="Century Gothic" w:hAnsi="Century Gothic"/>
        </w:rPr>
        <w:t>ies</w:t>
      </w:r>
      <w:r w:rsidR="007A2A03">
        <w:rPr>
          <w:rFonts w:ascii="Century Gothic" w:hAnsi="Century Gothic"/>
        </w:rPr>
        <w:t xml:space="preserve"> &amp; Machinery </w:t>
      </w:r>
      <w:r w:rsidR="00BD7FD3">
        <w:rPr>
          <w:rFonts w:ascii="Century Gothic" w:hAnsi="Century Gothic"/>
        </w:rPr>
        <w:t>Act 1967 (Act 139).</w:t>
      </w:r>
    </w:p>
    <w:p w14:paraId="7858F428" w14:textId="079B97DF" w:rsidR="000D51B8" w:rsidRDefault="000D51B8" w:rsidP="00C27032">
      <w:pPr>
        <w:pStyle w:val="NoSpacing"/>
        <w:jc w:val="both"/>
        <w:rPr>
          <w:rFonts w:ascii="Century Gothic" w:hAnsi="Century Gothic"/>
        </w:rPr>
      </w:pPr>
    </w:p>
    <w:p w14:paraId="771E0ADE" w14:textId="1AFE9BB8" w:rsidR="000D51B8" w:rsidRDefault="000D51B8" w:rsidP="00C27032">
      <w:pPr>
        <w:pStyle w:val="NoSpacing"/>
        <w:jc w:val="both"/>
        <w:rPr>
          <w:rFonts w:ascii="Century Gothic" w:hAnsi="Century Gothic"/>
        </w:rPr>
      </w:pPr>
      <w:r>
        <w:rPr>
          <w:rFonts w:ascii="Century Gothic" w:hAnsi="Century Gothic"/>
        </w:rPr>
        <w:t xml:space="preserve">The depreciation in </w:t>
      </w:r>
      <w:r w:rsidR="002B0DA8">
        <w:rPr>
          <w:rFonts w:ascii="Century Gothic" w:hAnsi="Century Gothic"/>
        </w:rPr>
        <w:t xml:space="preserve">Column </w:t>
      </w:r>
      <w:r>
        <w:rPr>
          <w:rFonts w:ascii="Century Gothic" w:hAnsi="Century Gothic"/>
        </w:rPr>
        <w:t xml:space="preserve">ii above </w:t>
      </w:r>
      <w:r w:rsidR="0099530D">
        <w:rPr>
          <w:rFonts w:ascii="Century Gothic" w:hAnsi="Century Gothic"/>
        </w:rPr>
        <w:t xml:space="preserve">may well </w:t>
      </w:r>
      <w:r>
        <w:rPr>
          <w:rFonts w:ascii="Century Gothic" w:hAnsi="Century Gothic"/>
        </w:rPr>
        <w:t>be subject to proportionate reduction (average).</w:t>
      </w:r>
    </w:p>
    <w:p w14:paraId="2FEE2B1A" w14:textId="77777777" w:rsidR="007D53A4" w:rsidRDefault="007D53A4" w:rsidP="00C27032">
      <w:pPr>
        <w:pStyle w:val="NoSpacing"/>
        <w:jc w:val="both"/>
        <w:rPr>
          <w:rFonts w:ascii="Century Gothic" w:hAnsi="Century Gothic"/>
        </w:rPr>
      </w:pPr>
    </w:p>
    <w:p w14:paraId="3F647835" w14:textId="600EB978" w:rsidR="002A3059" w:rsidRDefault="002A3059" w:rsidP="00C27032">
      <w:pPr>
        <w:pStyle w:val="NoSpacing"/>
        <w:jc w:val="both"/>
        <w:rPr>
          <w:rFonts w:ascii="Century Gothic" w:hAnsi="Century Gothic"/>
        </w:rPr>
      </w:pPr>
      <w:r>
        <w:rPr>
          <w:rFonts w:ascii="Century Gothic" w:hAnsi="Century Gothic"/>
        </w:rPr>
        <w:t>For the purpose of insur</w:t>
      </w:r>
      <w:r w:rsidR="00665595">
        <w:rPr>
          <w:rFonts w:ascii="Century Gothic" w:hAnsi="Century Gothic"/>
        </w:rPr>
        <w:t>ing depreciation as an</w:t>
      </w:r>
      <w:r>
        <w:rPr>
          <w:rFonts w:ascii="Century Gothic" w:hAnsi="Century Gothic"/>
        </w:rPr>
        <w:t xml:space="preserve"> Optional c</w:t>
      </w:r>
      <w:r w:rsidR="00665595">
        <w:rPr>
          <w:rFonts w:ascii="Century Gothic" w:hAnsi="Century Gothic"/>
        </w:rPr>
        <w:t>harge</w:t>
      </w:r>
      <w:r>
        <w:rPr>
          <w:rFonts w:ascii="Century Gothic" w:hAnsi="Century Gothic"/>
        </w:rPr>
        <w:t xml:space="preserve">, </w:t>
      </w:r>
      <w:r w:rsidR="002B0DA8">
        <w:rPr>
          <w:rFonts w:ascii="Century Gothic" w:hAnsi="Century Gothic"/>
        </w:rPr>
        <w:t>C</w:t>
      </w:r>
      <w:r>
        <w:rPr>
          <w:rFonts w:ascii="Century Gothic" w:hAnsi="Century Gothic"/>
        </w:rPr>
        <w:t xml:space="preserve">olumn 1 is applicable, following that, depreciation can be insured as an </w:t>
      </w:r>
      <w:r w:rsidR="00665595">
        <w:rPr>
          <w:rFonts w:ascii="Century Gothic" w:hAnsi="Century Gothic"/>
        </w:rPr>
        <w:t>O</w:t>
      </w:r>
      <w:r>
        <w:rPr>
          <w:rFonts w:ascii="Century Gothic" w:hAnsi="Century Gothic"/>
        </w:rPr>
        <w:t>ptional charge</w:t>
      </w:r>
      <w:r w:rsidR="00E319EA">
        <w:rPr>
          <w:rStyle w:val="FootnoteReference"/>
          <w:rFonts w:ascii="Century Gothic" w:hAnsi="Century Gothic"/>
        </w:rPr>
        <w:footnoteReference w:id="53"/>
      </w:r>
      <w:r>
        <w:rPr>
          <w:rFonts w:ascii="Century Gothic" w:hAnsi="Century Gothic"/>
        </w:rPr>
        <w:t xml:space="preserve"> in full or a discretionary portion thereof or not insured at all, on a standalone basis, as an item of the policy schedule, with a limit of liability</w:t>
      </w:r>
      <w:r w:rsidR="00970EEB">
        <w:rPr>
          <w:rFonts w:ascii="Century Gothic" w:hAnsi="Century Gothic"/>
        </w:rPr>
        <w:t>. (see Illustration 5).</w:t>
      </w:r>
    </w:p>
    <w:p w14:paraId="10F18751" w14:textId="6206F150" w:rsidR="008F60FF" w:rsidRDefault="002A3059" w:rsidP="00C27032">
      <w:pPr>
        <w:pStyle w:val="NoSpacing"/>
        <w:jc w:val="both"/>
        <w:rPr>
          <w:rFonts w:ascii="Century Gothic" w:hAnsi="Century Gothic"/>
        </w:rPr>
      </w:pPr>
      <w:r>
        <w:rPr>
          <w:rFonts w:ascii="Century Gothic" w:hAnsi="Century Gothic"/>
        </w:rPr>
        <w:t xml:space="preserve"> </w:t>
      </w:r>
    </w:p>
    <w:p w14:paraId="7684B87D" w14:textId="041334C1" w:rsidR="00776DFD" w:rsidRDefault="00776DFD" w:rsidP="00C27032">
      <w:pPr>
        <w:pStyle w:val="NoSpacing"/>
        <w:jc w:val="both"/>
        <w:rPr>
          <w:rFonts w:ascii="Century Gothic" w:hAnsi="Century Gothic"/>
        </w:rPr>
      </w:pPr>
      <w:r>
        <w:rPr>
          <w:rFonts w:ascii="Century Gothic" w:hAnsi="Century Gothic"/>
        </w:rPr>
        <w:t xml:space="preserve">In </w:t>
      </w:r>
      <w:r w:rsidR="003E1CDC">
        <w:rPr>
          <w:rFonts w:ascii="Century Gothic" w:hAnsi="Century Gothic"/>
        </w:rPr>
        <w:t>a</w:t>
      </w:r>
      <w:r>
        <w:rPr>
          <w:rFonts w:ascii="Century Gothic" w:hAnsi="Century Gothic"/>
        </w:rPr>
        <w:t xml:space="preserve"> peculiar situation where the SWE has no listing of the specified expenses</w:t>
      </w:r>
      <w:r w:rsidR="003E1CDC">
        <w:rPr>
          <w:rFonts w:ascii="Century Gothic" w:hAnsi="Century Gothic"/>
        </w:rPr>
        <w:t xml:space="preserve"> (completely blank) then</w:t>
      </w:r>
      <w:r>
        <w:rPr>
          <w:rFonts w:ascii="Century Gothic" w:hAnsi="Century Gothic"/>
        </w:rPr>
        <w:t xml:space="preserve">, the option would rest with the Insured </w:t>
      </w:r>
      <w:r w:rsidR="003E1CDC">
        <w:rPr>
          <w:rFonts w:ascii="Century Gothic" w:hAnsi="Century Gothic"/>
        </w:rPr>
        <w:t>in accordance with their books and accounts, pursuant to N.B. 2 above</w:t>
      </w:r>
      <w:r w:rsidR="00C66A64">
        <w:rPr>
          <w:rStyle w:val="FootnoteReference"/>
          <w:rFonts w:ascii="Century Gothic" w:hAnsi="Century Gothic"/>
        </w:rPr>
        <w:footnoteReference w:id="54"/>
      </w:r>
      <w:r w:rsidR="00C66A64">
        <w:rPr>
          <w:rFonts w:ascii="Century Gothic" w:hAnsi="Century Gothic"/>
        </w:rPr>
        <w:t xml:space="preserve"> On this</w:t>
      </w:r>
      <w:r w:rsidR="003E1CDC">
        <w:rPr>
          <w:rFonts w:ascii="Century Gothic" w:hAnsi="Century Gothic"/>
        </w:rPr>
        <w:t xml:space="preserve"> note, the Insured is at liberty to include or exclude Depreciation with a view to reflect the Business</w:t>
      </w:r>
      <w:r w:rsidR="005D6426">
        <w:rPr>
          <w:rFonts w:ascii="Century Gothic" w:hAnsi="Century Gothic"/>
        </w:rPr>
        <w:t xml:space="preserve"> insured</w:t>
      </w:r>
      <w:r w:rsidR="003E1CDC">
        <w:rPr>
          <w:rFonts w:ascii="Century Gothic" w:hAnsi="Century Gothic"/>
        </w:rPr>
        <w:t xml:space="preserve"> </w:t>
      </w:r>
      <w:r w:rsidR="00C66A64">
        <w:rPr>
          <w:rFonts w:ascii="Century Gothic" w:hAnsi="Century Gothic"/>
        </w:rPr>
        <w:t>as a whole.</w:t>
      </w:r>
    </w:p>
    <w:p w14:paraId="4EFD0ACF" w14:textId="098839D7" w:rsidR="00346824" w:rsidRDefault="00346824" w:rsidP="00C27032">
      <w:pPr>
        <w:pStyle w:val="NoSpacing"/>
        <w:jc w:val="both"/>
        <w:rPr>
          <w:rFonts w:ascii="Century Gothic" w:hAnsi="Century Gothic"/>
        </w:rPr>
      </w:pPr>
    </w:p>
    <w:p w14:paraId="4A1F9EC8" w14:textId="4FB21AB1" w:rsidR="00346824" w:rsidRDefault="00346824" w:rsidP="00C27032">
      <w:pPr>
        <w:pStyle w:val="NoSpacing"/>
        <w:jc w:val="both"/>
        <w:rPr>
          <w:rFonts w:ascii="Century Gothic" w:hAnsi="Century Gothic"/>
        </w:rPr>
      </w:pPr>
      <w:r>
        <w:rPr>
          <w:rFonts w:ascii="Century Gothic" w:hAnsi="Century Gothic"/>
        </w:rPr>
        <w:t>Furthermore, in the Difference Basis, depreciation</w:t>
      </w:r>
      <w:r w:rsidR="00A37CD0">
        <w:rPr>
          <w:rFonts w:ascii="Century Gothic" w:hAnsi="Century Gothic"/>
        </w:rPr>
        <w:t xml:space="preserve">, (as a Capital Allowance) </w:t>
      </w:r>
      <w:r>
        <w:rPr>
          <w:rFonts w:ascii="Century Gothic" w:hAnsi="Century Gothic"/>
        </w:rPr>
        <w:t xml:space="preserve">is actually deducted from the Net Profit at source in consonant with </w:t>
      </w:r>
      <w:r w:rsidR="00A37CD0">
        <w:rPr>
          <w:rFonts w:ascii="Century Gothic" w:hAnsi="Century Gothic"/>
        </w:rPr>
        <w:t>the ITA 1967.</w:t>
      </w:r>
    </w:p>
    <w:p w14:paraId="77252F00" w14:textId="781F6BD9" w:rsidR="00346824" w:rsidRDefault="00346824" w:rsidP="00C27032">
      <w:pPr>
        <w:pStyle w:val="NoSpacing"/>
        <w:jc w:val="both"/>
        <w:rPr>
          <w:rFonts w:ascii="Century Gothic" w:hAnsi="Century Gothic"/>
        </w:rPr>
      </w:pPr>
    </w:p>
    <w:p w14:paraId="1D197AEB" w14:textId="262DDF40" w:rsidR="00531F7D" w:rsidRDefault="002A1336" w:rsidP="00A70198">
      <w:pPr>
        <w:pStyle w:val="NoSpacing"/>
        <w:jc w:val="both"/>
        <w:rPr>
          <w:rFonts w:ascii="Century Gothic" w:hAnsi="Century Gothic"/>
        </w:rPr>
      </w:pPr>
      <w:r>
        <w:rPr>
          <w:rFonts w:ascii="Century Gothic" w:hAnsi="Century Gothic"/>
        </w:rPr>
        <w:t>It can be seen that learned authorities</w:t>
      </w:r>
      <w:r w:rsidR="00ED5DFF">
        <w:rPr>
          <w:rFonts w:ascii="Century Gothic" w:hAnsi="Century Gothic"/>
        </w:rPr>
        <w:t>,</w:t>
      </w:r>
      <w:r>
        <w:rPr>
          <w:rFonts w:ascii="Century Gothic" w:hAnsi="Century Gothic"/>
        </w:rPr>
        <w:t xml:space="preserve"> such as Riley</w:t>
      </w:r>
      <w:r w:rsidR="00CE37C1">
        <w:rPr>
          <w:rStyle w:val="FootnoteReference"/>
          <w:rFonts w:ascii="Century Gothic" w:hAnsi="Century Gothic"/>
        </w:rPr>
        <w:footnoteReference w:id="55"/>
      </w:r>
      <w:r>
        <w:rPr>
          <w:rFonts w:ascii="Century Gothic" w:hAnsi="Century Gothic"/>
        </w:rPr>
        <w:t xml:space="preserve"> and Hickmott</w:t>
      </w:r>
      <w:r w:rsidR="00ED5DFF">
        <w:rPr>
          <w:rFonts w:ascii="Century Gothic" w:hAnsi="Century Gothic"/>
        </w:rPr>
        <w:t>,</w:t>
      </w:r>
      <w:r w:rsidR="00CE37C1">
        <w:rPr>
          <w:rStyle w:val="FootnoteReference"/>
          <w:rFonts w:ascii="Century Gothic" w:hAnsi="Century Gothic"/>
        </w:rPr>
        <w:footnoteReference w:id="56"/>
      </w:r>
      <w:r w:rsidR="003E23F1">
        <w:rPr>
          <w:rFonts w:ascii="Century Gothic" w:hAnsi="Century Gothic"/>
        </w:rPr>
        <w:t xml:space="preserve"> </w:t>
      </w:r>
      <w:r>
        <w:rPr>
          <w:rFonts w:ascii="Century Gothic" w:hAnsi="Century Gothic"/>
        </w:rPr>
        <w:t xml:space="preserve">had </w:t>
      </w:r>
      <w:r w:rsidR="00035B45">
        <w:rPr>
          <w:rFonts w:ascii="Century Gothic" w:hAnsi="Century Gothic"/>
        </w:rPr>
        <w:t xml:space="preserve">bravely </w:t>
      </w:r>
      <w:r>
        <w:rPr>
          <w:rFonts w:ascii="Century Gothic" w:hAnsi="Century Gothic"/>
        </w:rPr>
        <w:t xml:space="preserve">delved into the application of Depreciation as an </w:t>
      </w:r>
      <w:r w:rsidR="00035B45">
        <w:rPr>
          <w:rFonts w:ascii="Century Gothic" w:hAnsi="Century Gothic"/>
        </w:rPr>
        <w:t>o</w:t>
      </w:r>
      <w:r>
        <w:rPr>
          <w:rFonts w:ascii="Century Gothic" w:hAnsi="Century Gothic"/>
        </w:rPr>
        <w:t>ptional c</w:t>
      </w:r>
      <w:r w:rsidR="00CE37C1">
        <w:rPr>
          <w:rFonts w:ascii="Century Gothic" w:hAnsi="Century Gothic"/>
        </w:rPr>
        <w:t>harge.</w:t>
      </w:r>
      <w:r w:rsidR="00035B45">
        <w:rPr>
          <w:rFonts w:ascii="Century Gothic" w:hAnsi="Century Gothic"/>
        </w:rPr>
        <w:t xml:space="preserve"> Unfortunately, since then, no other authorities have</w:t>
      </w:r>
      <w:r w:rsidR="00264AFE">
        <w:rPr>
          <w:rFonts w:ascii="Century Gothic" w:hAnsi="Century Gothic"/>
        </w:rPr>
        <w:t xml:space="preserve"> broach</w:t>
      </w:r>
      <w:r w:rsidR="00282858">
        <w:rPr>
          <w:rFonts w:ascii="Century Gothic" w:hAnsi="Century Gothic"/>
        </w:rPr>
        <w:t>ed</w:t>
      </w:r>
      <w:r w:rsidR="00264AFE">
        <w:rPr>
          <w:rFonts w:ascii="Century Gothic" w:hAnsi="Century Gothic"/>
        </w:rPr>
        <w:t xml:space="preserve"> </w:t>
      </w:r>
      <w:r w:rsidR="00CD1C64">
        <w:rPr>
          <w:rFonts w:ascii="Century Gothic" w:hAnsi="Century Gothic"/>
        </w:rPr>
        <w:t>on</w:t>
      </w:r>
      <w:r w:rsidR="00035B45">
        <w:rPr>
          <w:rFonts w:ascii="Century Gothic" w:hAnsi="Century Gothic"/>
        </w:rPr>
        <w:t xml:space="preserve"> </w:t>
      </w:r>
      <w:r w:rsidR="00282858">
        <w:rPr>
          <w:rFonts w:ascii="Century Gothic" w:hAnsi="Century Gothic"/>
        </w:rPr>
        <w:t>Depreciation as an</w:t>
      </w:r>
      <w:r w:rsidR="00035B45">
        <w:rPr>
          <w:rFonts w:ascii="Century Gothic" w:hAnsi="Century Gothic"/>
        </w:rPr>
        <w:t xml:space="preserve"> optional c</w:t>
      </w:r>
      <w:r w:rsidR="00CE37C1">
        <w:rPr>
          <w:rFonts w:ascii="Century Gothic" w:hAnsi="Century Gothic"/>
        </w:rPr>
        <w:t>harge.</w:t>
      </w:r>
    </w:p>
    <w:p w14:paraId="7D5CE247" w14:textId="77777777" w:rsidR="00ED5DFF" w:rsidRDefault="00ED5DFF" w:rsidP="00422A90">
      <w:pPr>
        <w:pStyle w:val="NoSpacing"/>
        <w:jc w:val="both"/>
        <w:rPr>
          <w:rFonts w:ascii="Century Gothic" w:hAnsi="Century Gothic"/>
        </w:rPr>
      </w:pPr>
    </w:p>
    <w:p w14:paraId="47B4735F" w14:textId="48DA64E1" w:rsidR="00531F7D" w:rsidRDefault="00531F7D" w:rsidP="00422A90">
      <w:pPr>
        <w:pStyle w:val="NoSpacing"/>
        <w:jc w:val="both"/>
        <w:rPr>
          <w:rFonts w:ascii="Century Gothic" w:hAnsi="Century Gothic"/>
        </w:rPr>
      </w:pPr>
      <w:r>
        <w:rPr>
          <w:rFonts w:ascii="Century Gothic" w:hAnsi="Century Gothic"/>
        </w:rPr>
        <w:t xml:space="preserve">Variable costs </w:t>
      </w:r>
      <w:r w:rsidR="00A37CD0">
        <w:rPr>
          <w:rFonts w:ascii="Century Gothic" w:hAnsi="Century Gothic"/>
        </w:rPr>
        <w:t xml:space="preserve">which are </w:t>
      </w:r>
      <w:r>
        <w:rPr>
          <w:rFonts w:ascii="Century Gothic" w:hAnsi="Century Gothic"/>
        </w:rPr>
        <w:t xml:space="preserve">not </w:t>
      </w:r>
      <w:r w:rsidR="00982C67">
        <w:rPr>
          <w:rFonts w:ascii="Century Gothic" w:hAnsi="Century Gothic"/>
        </w:rPr>
        <w:t xml:space="preserve">listed </w:t>
      </w:r>
      <w:r>
        <w:rPr>
          <w:rFonts w:ascii="Century Gothic" w:hAnsi="Century Gothic"/>
        </w:rPr>
        <w:t xml:space="preserve">in the SWE </w:t>
      </w:r>
      <w:r w:rsidR="00A37CD0">
        <w:rPr>
          <w:rFonts w:ascii="Century Gothic" w:hAnsi="Century Gothic"/>
        </w:rPr>
        <w:t xml:space="preserve">do not </w:t>
      </w:r>
      <w:r>
        <w:rPr>
          <w:rFonts w:ascii="Century Gothic" w:hAnsi="Century Gothic"/>
        </w:rPr>
        <w:t xml:space="preserve">automatically </w:t>
      </w:r>
      <w:r w:rsidR="00665595">
        <w:rPr>
          <w:rFonts w:ascii="Century Gothic" w:hAnsi="Century Gothic"/>
        </w:rPr>
        <w:t>become</w:t>
      </w:r>
      <w:r w:rsidR="00A37CD0">
        <w:rPr>
          <w:rFonts w:ascii="Century Gothic" w:hAnsi="Century Gothic"/>
        </w:rPr>
        <w:t xml:space="preserve"> standing charges </w:t>
      </w:r>
      <w:r>
        <w:rPr>
          <w:rFonts w:ascii="Century Gothic" w:hAnsi="Century Gothic"/>
        </w:rPr>
        <w:t>in the Gross Profit by way of definition as shown in Illustration 6</w:t>
      </w:r>
      <w:r w:rsidR="000D51B8">
        <w:rPr>
          <w:rFonts w:ascii="Century Gothic" w:hAnsi="Century Gothic"/>
        </w:rPr>
        <w:t>.</w:t>
      </w:r>
    </w:p>
    <w:p w14:paraId="17262956" w14:textId="2E0C8157" w:rsidR="00531F7D" w:rsidRDefault="00531F7D" w:rsidP="00AC0D7D">
      <w:pPr>
        <w:pStyle w:val="NoSpacing"/>
        <w:rPr>
          <w:rFonts w:ascii="Century Gothic" w:hAnsi="Century Gothic"/>
        </w:rPr>
      </w:pPr>
    </w:p>
    <w:p w14:paraId="30CAA9D1" w14:textId="78854E89" w:rsidR="00531F7D" w:rsidRDefault="00665595" w:rsidP="006234F7">
      <w:pPr>
        <w:pStyle w:val="NoSpacing"/>
        <w:jc w:val="both"/>
        <w:rPr>
          <w:rFonts w:ascii="Century Gothic" w:hAnsi="Century Gothic"/>
        </w:rPr>
      </w:pPr>
      <w:r>
        <w:rPr>
          <w:rFonts w:ascii="Century Gothic" w:hAnsi="Century Gothic"/>
        </w:rPr>
        <w:t>A v</w:t>
      </w:r>
      <w:r w:rsidR="00531F7D">
        <w:rPr>
          <w:rFonts w:ascii="Century Gothic" w:hAnsi="Century Gothic"/>
        </w:rPr>
        <w:t xml:space="preserve">ariable cost </w:t>
      </w:r>
      <w:r w:rsidR="000E345B">
        <w:rPr>
          <w:rFonts w:ascii="Century Gothic" w:hAnsi="Century Gothic"/>
        </w:rPr>
        <w:t>could n</w:t>
      </w:r>
      <w:r w:rsidR="003C6EF4">
        <w:rPr>
          <w:rFonts w:ascii="Century Gothic" w:hAnsi="Century Gothic"/>
        </w:rPr>
        <w:t>ot</w:t>
      </w:r>
      <w:r>
        <w:rPr>
          <w:rFonts w:ascii="Century Gothic" w:hAnsi="Century Gothic"/>
        </w:rPr>
        <w:t xml:space="preserve"> </w:t>
      </w:r>
      <w:r w:rsidR="000E345B">
        <w:rPr>
          <w:rFonts w:ascii="Century Gothic" w:hAnsi="Century Gothic"/>
        </w:rPr>
        <w:t>be</w:t>
      </w:r>
      <w:r w:rsidR="00683242">
        <w:rPr>
          <w:rFonts w:ascii="Century Gothic" w:hAnsi="Century Gothic"/>
        </w:rPr>
        <w:t>come</w:t>
      </w:r>
      <w:r w:rsidR="000E345B">
        <w:rPr>
          <w:rFonts w:ascii="Century Gothic" w:hAnsi="Century Gothic"/>
        </w:rPr>
        <w:t xml:space="preserve"> a</w:t>
      </w:r>
      <w:r w:rsidR="00531F7D">
        <w:rPr>
          <w:rFonts w:ascii="Century Gothic" w:hAnsi="Century Gothic"/>
        </w:rPr>
        <w:t xml:space="preserve"> </w:t>
      </w:r>
      <w:r w:rsidR="00683242">
        <w:rPr>
          <w:rFonts w:ascii="Century Gothic" w:hAnsi="Century Gothic"/>
        </w:rPr>
        <w:t>standing charge</w:t>
      </w:r>
      <w:r w:rsidR="00E75D12">
        <w:rPr>
          <w:rFonts w:ascii="Century Gothic" w:hAnsi="Century Gothic"/>
        </w:rPr>
        <w:t>, not</w:t>
      </w:r>
      <w:r w:rsidR="00531F7D">
        <w:rPr>
          <w:rFonts w:ascii="Century Gothic" w:hAnsi="Century Gothic"/>
        </w:rPr>
        <w:t xml:space="preserve"> </w:t>
      </w:r>
      <w:r w:rsidR="000E345B">
        <w:rPr>
          <w:rFonts w:ascii="Century Gothic" w:hAnsi="Century Gothic"/>
        </w:rPr>
        <w:t>even by definition of the gross profit.</w:t>
      </w:r>
      <w:r w:rsidR="001458D1">
        <w:rPr>
          <w:rFonts w:ascii="Century Gothic" w:hAnsi="Century Gothic"/>
        </w:rPr>
        <w:t xml:space="preserve"> Unfortunately, </w:t>
      </w:r>
      <w:r w:rsidR="00683242">
        <w:rPr>
          <w:rFonts w:ascii="Century Gothic" w:hAnsi="Century Gothic"/>
        </w:rPr>
        <w:t xml:space="preserve">some </w:t>
      </w:r>
      <w:r w:rsidR="001458D1">
        <w:rPr>
          <w:rFonts w:ascii="Century Gothic" w:hAnsi="Century Gothic"/>
        </w:rPr>
        <w:t xml:space="preserve">die-hard professionals would </w:t>
      </w:r>
      <w:r w:rsidR="00683242">
        <w:rPr>
          <w:rFonts w:ascii="Century Gothic" w:hAnsi="Century Gothic"/>
        </w:rPr>
        <w:t>‘</w:t>
      </w:r>
      <w:r w:rsidR="001458D1">
        <w:rPr>
          <w:rFonts w:ascii="Century Gothic" w:hAnsi="Century Gothic"/>
        </w:rPr>
        <w:t xml:space="preserve">stick </w:t>
      </w:r>
      <w:r w:rsidR="00683242">
        <w:rPr>
          <w:rFonts w:ascii="Century Gothic" w:hAnsi="Century Gothic"/>
        </w:rPr>
        <w:t>to</w:t>
      </w:r>
      <w:r w:rsidR="001458D1">
        <w:rPr>
          <w:rFonts w:ascii="Century Gothic" w:hAnsi="Century Gothic"/>
        </w:rPr>
        <w:t xml:space="preserve"> their gun</w:t>
      </w:r>
      <w:r w:rsidR="00683242">
        <w:rPr>
          <w:rFonts w:ascii="Century Gothic" w:hAnsi="Century Gothic"/>
        </w:rPr>
        <w:t>s’ that a variable cost is a standing charge simply because it is not listed in the SWE.</w:t>
      </w:r>
    </w:p>
    <w:p w14:paraId="792C095A" w14:textId="77777777" w:rsidR="007D53A4" w:rsidRDefault="007D53A4" w:rsidP="006234F7">
      <w:pPr>
        <w:pStyle w:val="NoSpacing"/>
        <w:jc w:val="both"/>
        <w:rPr>
          <w:rFonts w:ascii="Century Gothic" w:hAnsi="Century Gothic"/>
          <w:b/>
        </w:rPr>
      </w:pPr>
    </w:p>
    <w:p w14:paraId="3F2C4934" w14:textId="77777777" w:rsidR="007D53A4" w:rsidRDefault="007D53A4" w:rsidP="006234F7">
      <w:pPr>
        <w:pStyle w:val="NoSpacing"/>
        <w:jc w:val="both"/>
        <w:rPr>
          <w:rFonts w:ascii="Century Gothic" w:hAnsi="Century Gothic"/>
          <w:b/>
        </w:rPr>
      </w:pPr>
    </w:p>
    <w:p w14:paraId="601124F9" w14:textId="296FC02D" w:rsidR="0099530D" w:rsidRPr="00A11435" w:rsidRDefault="0099530D" w:rsidP="006234F7">
      <w:pPr>
        <w:pStyle w:val="NoSpacing"/>
        <w:jc w:val="both"/>
        <w:rPr>
          <w:rFonts w:ascii="Century Gothic" w:hAnsi="Century Gothic"/>
        </w:rPr>
      </w:pPr>
      <w:r w:rsidRPr="00A11435">
        <w:rPr>
          <w:rFonts w:ascii="Century Gothic" w:hAnsi="Century Gothic"/>
          <w:b/>
        </w:rPr>
        <w:lastRenderedPageBreak/>
        <w:t>Depreciation in Gross Revenue</w:t>
      </w:r>
      <w:r w:rsidRPr="00A11435">
        <w:rPr>
          <w:rStyle w:val="FootnoteReference"/>
          <w:rFonts w:ascii="Century Gothic" w:hAnsi="Century Gothic"/>
        </w:rPr>
        <w:footnoteReference w:id="57"/>
      </w:r>
    </w:p>
    <w:p w14:paraId="7FD318CF" w14:textId="606BA7D2" w:rsidR="0099530D" w:rsidRDefault="0099530D" w:rsidP="006234F7">
      <w:pPr>
        <w:pStyle w:val="NoSpacing"/>
        <w:jc w:val="both"/>
        <w:rPr>
          <w:rFonts w:ascii="Century Gothic" w:hAnsi="Century Gothic"/>
        </w:rPr>
      </w:pPr>
    </w:p>
    <w:p w14:paraId="1D120F6A" w14:textId="38B7529B" w:rsidR="0099530D" w:rsidRDefault="00220768" w:rsidP="006234F7">
      <w:pPr>
        <w:pStyle w:val="NoSpacing"/>
        <w:jc w:val="both"/>
        <w:rPr>
          <w:rFonts w:ascii="Century Gothic" w:hAnsi="Century Gothic"/>
        </w:rPr>
      </w:pPr>
      <w:r>
        <w:rPr>
          <w:rFonts w:ascii="Century Gothic" w:hAnsi="Century Gothic"/>
        </w:rPr>
        <w:t>Gross Revenue is the basis of BI cover for the service industry.</w:t>
      </w:r>
    </w:p>
    <w:p w14:paraId="6BE8E2CA" w14:textId="60516175" w:rsidR="00220768" w:rsidRDefault="00220768" w:rsidP="006234F7">
      <w:pPr>
        <w:pStyle w:val="NoSpacing"/>
        <w:jc w:val="both"/>
        <w:rPr>
          <w:rFonts w:ascii="Century Gothic" w:hAnsi="Century Gothic"/>
        </w:rPr>
      </w:pPr>
    </w:p>
    <w:p w14:paraId="2D14ABEF" w14:textId="6D7288D5" w:rsidR="00220768" w:rsidRDefault="00220768" w:rsidP="006234F7">
      <w:pPr>
        <w:pStyle w:val="NoSpacing"/>
        <w:jc w:val="both"/>
        <w:rPr>
          <w:rFonts w:ascii="Century Gothic" w:hAnsi="Century Gothic"/>
        </w:rPr>
      </w:pPr>
      <w:r>
        <w:rPr>
          <w:rFonts w:ascii="Century Gothic" w:hAnsi="Century Gothic"/>
        </w:rPr>
        <w:t xml:space="preserve">The service industry comprises </w:t>
      </w:r>
      <w:r w:rsidR="00683242">
        <w:rPr>
          <w:rFonts w:ascii="Century Gothic" w:hAnsi="Century Gothic"/>
        </w:rPr>
        <w:t xml:space="preserve">businesses of </w:t>
      </w:r>
      <w:r>
        <w:rPr>
          <w:rFonts w:ascii="Century Gothic" w:hAnsi="Century Gothic"/>
        </w:rPr>
        <w:t>accountants, architects, lawyers, engineers, doctors, hotels and other professio</w:t>
      </w:r>
      <w:r w:rsidR="00210F68">
        <w:rPr>
          <w:rFonts w:ascii="Century Gothic" w:hAnsi="Century Gothic"/>
        </w:rPr>
        <w:t>n</w:t>
      </w:r>
      <w:r>
        <w:rPr>
          <w:rFonts w:ascii="Century Gothic" w:hAnsi="Century Gothic"/>
        </w:rPr>
        <w:t xml:space="preserve">al </w:t>
      </w:r>
      <w:r w:rsidR="00B76BF4">
        <w:rPr>
          <w:rFonts w:ascii="Century Gothic" w:hAnsi="Century Gothic"/>
        </w:rPr>
        <w:t xml:space="preserve">service </w:t>
      </w:r>
      <w:r>
        <w:rPr>
          <w:rFonts w:ascii="Century Gothic" w:hAnsi="Century Gothic"/>
        </w:rPr>
        <w:t>undertak</w:t>
      </w:r>
      <w:r w:rsidR="00210F68">
        <w:rPr>
          <w:rFonts w:ascii="Century Gothic" w:hAnsi="Century Gothic"/>
        </w:rPr>
        <w:t>ers.</w:t>
      </w:r>
    </w:p>
    <w:p w14:paraId="2B09E995" w14:textId="3652BD9D" w:rsidR="00220768" w:rsidRDefault="00220768" w:rsidP="006234F7">
      <w:pPr>
        <w:pStyle w:val="NoSpacing"/>
        <w:jc w:val="both"/>
        <w:rPr>
          <w:rFonts w:ascii="Century Gothic" w:hAnsi="Century Gothic"/>
        </w:rPr>
      </w:pPr>
    </w:p>
    <w:p w14:paraId="63FC65E7" w14:textId="5AE2C611" w:rsidR="00210F68" w:rsidRDefault="00220768" w:rsidP="006234F7">
      <w:pPr>
        <w:pStyle w:val="NoSpacing"/>
        <w:jc w:val="both"/>
        <w:rPr>
          <w:rFonts w:ascii="Century Gothic" w:hAnsi="Century Gothic"/>
        </w:rPr>
      </w:pPr>
      <w:r>
        <w:rPr>
          <w:rFonts w:ascii="Century Gothic" w:hAnsi="Century Gothic"/>
        </w:rPr>
        <w:t xml:space="preserve">Save for boutique and high-tech professional service firms having substantial investments in </w:t>
      </w:r>
      <w:r w:rsidR="00B76BF4">
        <w:rPr>
          <w:rFonts w:ascii="Century Gothic" w:hAnsi="Century Gothic"/>
        </w:rPr>
        <w:t xml:space="preserve">fixed </w:t>
      </w:r>
      <w:r>
        <w:rPr>
          <w:rFonts w:ascii="Century Gothic" w:hAnsi="Century Gothic"/>
        </w:rPr>
        <w:t xml:space="preserve">assets, </w:t>
      </w:r>
      <w:r w:rsidR="00210F68">
        <w:rPr>
          <w:rFonts w:ascii="Century Gothic" w:hAnsi="Century Gothic"/>
        </w:rPr>
        <w:t>for</w:t>
      </w:r>
      <w:r w:rsidR="001458D1">
        <w:rPr>
          <w:rFonts w:ascii="Century Gothic" w:hAnsi="Century Gothic"/>
        </w:rPr>
        <w:t xml:space="preserve"> those</w:t>
      </w:r>
      <w:r w:rsidR="00210F68">
        <w:rPr>
          <w:rFonts w:ascii="Century Gothic" w:hAnsi="Century Gothic"/>
        </w:rPr>
        <w:t xml:space="preserve"> </w:t>
      </w:r>
      <w:r>
        <w:rPr>
          <w:rFonts w:ascii="Century Gothic" w:hAnsi="Century Gothic"/>
        </w:rPr>
        <w:t xml:space="preserve">income solely from services, variable </w:t>
      </w:r>
      <w:r w:rsidR="00210F68">
        <w:rPr>
          <w:rFonts w:ascii="Century Gothic" w:hAnsi="Century Gothic"/>
        </w:rPr>
        <w:t>charges are negligible or are excluded in the definition of income.</w:t>
      </w:r>
      <w:r w:rsidR="00210F68">
        <w:rPr>
          <w:rStyle w:val="FootnoteReference"/>
          <w:rFonts w:ascii="Century Gothic" w:hAnsi="Century Gothic"/>
        </w:rPr>
        <w:footnoteReference w:id="58"/>
      </w:r>
    </w:p>
    <w:p w14:paraId="48D564E0" w14:textId="77777777" w:rsidR="00B76BF4" w:rsidRDefault="00B76BF4" w:rsidP="006234F7">
      <w:pPr>
        <w:pStyle w:val="NoSpacing"/>
        <w:jc w:val="both"/>
        <w:rPr>
          <w:rFonts w:ascii="Century Gothic" w:hAnsi="Century Gothic"/>
        </w:rPr>
      </w:pPr>
    </w:p>
    <w:p w14:paraId="1BD368F9" w14:textId="4580E54C" w:rsidR="00210F68" w:rsidRDefault="00210F68" w:rsidP="006234F7">
      <w:pPr>
        <w:pStyle w:val="NoSpacing"/>
        <w:jc w:val="both"/>
        <w:rPr>
          <w:rFonts w:ascii="Century Gothic" w:hAnsi="Century Gothic"/>
        </w:rPr>
      </w:pPr>
      <w:r>
        <w:rPr>
          <w:rFonts w:ascii="Century Gothic" w:hAnsi="Century Gothic"/>
        </w:rPr>
        <w:t>In the same manner, depreciation, among others, can be written as a SWE, with an option to either insure it, as a separate item with a selected limit of liability</w:t>
      </w:r>
      <w:r w:rsidR="00B76BF4">
        <w:rPr>
          <w:rFonts w:ascii="Century Gothic" w:hAnsi="Century Gothic"/>
        </w:rPr>
        <w:t>,</w:t>
      </w:r>
      <w:r>
        <w:rPr>
          <w:rFonts w:ascii="Century Gothic" w:hAnsi="Century Gothic"/>
        </w:rPr>
        <w:t xml:space="preserve"> or not insured at all</w:t>
      </w:r>
      <w:r w:rsidR="003F62CC">
        <w:rPr>
          <w:rFonts w:ascii="Century Gothic" w:hAnsi="Century Gothic"/>
        </w:rPr>
        <w:t>.</w:t>
      </w:r>
    </w:p>
    <w:p w14:paraId="51B0AD44" w14:textId="01F3E113" w:rsidR="00CD3764" w:rsidRDefault="00CD3764" w:rsidP="006234F7">
      <w:pPr>
        <w:pStyle w:val="NoSpacing"/>
        <w:jc w:val="both"/>
        <w:rPr>
          <w:rFonts w:ascii="Century Gothic" w:hAnsi="Century Gothic"/>
        </w:rPr>
      </w:pPr>
    </w:p>
    <w:p w14:paraId="040E4171" w14:textId="33820FFF" w:rsidR="00CD3764" w:rsidRDefault="00CD3764" w:rsidP="006234F7">
      <w:pPr>
        <w:pStyle w:val="NoSpacing"/>
        <w:jc w:val="both"/>
        <w:rPr>
          <w:rFonts w:ascii="Century Gothic" w:hAnsi="Century Gothic"/>
        </w:rPr>
      </w:pPr>
      <w:r>
        <w:rPr>
          <w:rFonts w:ascii="Century Gothic" w:hAnsi="Century Gothic"/>
        </w:rPr>
        <w:t xml:space="preserve">The policy schedule can be written along the following </w:t>
      </w:r>
      <w:r w:rsidR="007576C0">
        <w:rPr>
          <w:rFonts w:ascii="Century Gothic" w:hAnsi="Century Gothic"/>
        </w:rPr>
        <w:t xml:space="preserve">Illustration </w:t>
      </w:r>
      <w:r w:rsidR="001E7841">
        <w:rPr>
          <w:rFonts w:ascii="Century Gothic" w:hAnsi="Century Gothic"/>
        </w:rPr>
        <w:t>9.</w:t>
      </w:r>
    </w:p>
    <w:p w14:paraId="1697E4DF" w14:textId="5C33ECCB" w:rsidR="007576C0" w:rsidRDefault="007576C0" w:rsidP="006234F7">
      <w:pPr>
        <w:pStyle w:val="NoSpacing"/>
        <w:jc w:val="both"/>
        <w:rPr>
          <w:rFonts w:ascii="Century Gothic" w:hAnsi="Century Gothic"/>
        </w:rPr>
      </w:pPr>
    </w:p>
    <w:p w14:paraId="2E3595CA" w14:textId="77777777" w:rsidR="00925533" w:rsidRDefault="00925533" w:rsidP="006234F7">
      <w:pPr>
        <w:pStyle w:val="NoSpacing"/>
        <w:jc w:val="both"/>
        <w:rPr>
          <w:rFonts w:ascii="Century Gothic" w:hAnsi="Century Gothic"/>
          <w:b/>
          <w:u w:val="single"/>
        </w:rPr>
      </w:pPr>
    </w:p>
    <w:p w14:paraId="4F1000E9" w14:textId="11FA1B82" w:rsidR="007576C0" w:rsidRPr="007576C0" w:rsidRDefault="007576C0" w:rsidP="006234F7">
      <w:pPr>
        <w:pStyle w:val="NoSpacing"/>
        <w:jc w:val="both"/>
        <w:rPr>
          <w:rFonts w:ascii="Century Gothic" w:hAnsi="Century Gothic"/>
          <w:b/>
          <w:u w:val="single"/>
        </w:rPr>
      </w:pPr>
      <w:r w:rsidRPr="007576C0">
        <w:rPr>
          <w:rFonts w:ascii="Century Gothic" w:hAnsi="Century Gothic"/>
          <w:b/>
          <w:u w:val="single"/>
        </w:rPr>
        <w:t xml:space="preserve">Illustration </w:t>
      </w:r>
      <w:r w:rsidR="00814336">
        <w:rPr>
          <w:rFonts w:ascii="Century Gothic" w:hAnsi="Century Gothic"/>
          <w:b/>
          <w:u w:val="single"/>
        </w:rPr>
        <w:t>9</w:t>
      </w:r>
    </w:p>
    <w:p w14:paraId="2D32B29E" w14:textId="0CFB2986" w:rsidR="00CD3764" w:rsidRDefault="00CD3764" w:rsidP="006234F7">
      <w:pPr>
        <w:pStyle w:val="NoSpacing"/>
        <w:jc w:val="both"/>
        <w:rPr>
          <w:rFonts w:ascii="Century Gothic" w:hAnsi="Century Gothic"/>
        </w:rPr>
      </w:pPr>
    </w:p>
    <w:p w14:paraId="1A74B028" w14:textId="08D645ED" w:rsidR="00CD3764" w:rsidRPr="00CD3764" w:rsidRDefault="00CD3764" w:rsidP="006234F7">
      <w:pPr>
        <w:pStyle w:val="NoSpacing"/>
        <w:jc w:val="both"/>
        <w:rPr>
          <w:rFonts w:ascii="Century Gothic" w:hAnsi="Century Gothic"/>
          <w:b/>
        </w:rPr>
      </w:pPr>
      <w:r w:rsidRPr="00CD3764">
        <w:rPr>
          <w:rFonts w:ascii="Century Gothic" w:hAnsi="Century Gothic"/>
          <w:b/>
          <w:u w:val="single"/>
        </w:rPr>
        <w:t>Item</w:t>
      </w:r>
      <w:r w:rsidRPr="00CD3764">
        <w:rPr>
          <w:rFonts w:ascii="Century Gothic" w:hAnsi="Century Gothic"/>
          <w:b/>
        </w:rPr>
        <w:t xml:space="preserve">         </w:t>
      </w:r>
      <w:r w:rsidRPr="00CD3764">
        <w:rPr>
          <w:rFonts w:ascii="Century Gothic" w:hAnsi="Century Gothic"/>
          <w:b/>
          <w:u w:val="single"/>
        </w:rPr>
        <w:t>Interest insured</w:t>
      </w:r>
      <w:r w:rsidRPr="00CD3764">
        <w:rPr>
          <w:rFonts w:ascii="Century Gothic" w:hAnsi="Century Gothic"/>
          <w:b/>
        </w:rPr>
        <w:t xml:space="preserve">                                                    </w:t>
      </w:r>
      <w:r w:rsidRPr="00CD3764">
        <w:rPr>
          <w:rFonts w:ascii="Century Gothic" w:hAnsi="Century Gothic"/>
          <w:b/>
          <w:u w:val="single"/>
        </w:rPr>
        <w:t>Sum Insured</w:t>
      </w:r>
    </w:p>
    <w:p w14:paraId="1E80E99D" w14:textId="3B5511A5" w:rsidR="00CD3764" w:rsidRDefault="00CD3764" w:rsidP="006234F7">
      <w:pPr>
        <w:pStyle w:val="NoSpacing"/>
        <w:jc w:val="both"/>
        <w:rPr>
          <w:rFonts w:ascii="Century Gothic" w:hAnsi="Century Gothic"/>
        </w:rPr>
      </w:pPr>
      <w:r>
        <w:rPr>
          <w:rFonts w:ascii="Century Gothic" w:hAnsi="Century Gothic"/>
        </w:rPr>
        <w:t xml:space="preserve">   1           On Gross Revenue                                              $10,000,000</w:t>
      </w:r>
    </w:p>
    <w:p w14:paraId="5FD81BE0" w14:textId="07543DF5" w:rsidR="00220768" w:rsidRDefault="00CD3764" w:rsidP="006234F7">
      <w:pPr>
        <w:pStyle w:val="NoSpacing"/>
        <w:jc w:val="both"/>
        <w:rPr>
          <w:rFonts w:ascii="Century Gothic" w:hAnsi="Century Gothic"/>
        </w:rPr>
      </w:pPr>
      <w:r>
        <w:rPr>
          <w:rFonts w:ascii="Century Gothic" w:hAnsi="Century Gothic"/>
        </w:rPr>
        <w:t xml:space="preserve">   2           On Additional Increase IN Cost of Working         1,000,000</w:t>
      </w:r>
    </w:p>
    <w:p w14:paraId="45D984DE" w14:textId="3263FA11" w:rsidR="00CD3764" w:rsidRDefault="00CD3764" w:rsidP="006234F7">
      <w:pPr>
        <w:pStyle w:val="NoSpacing"/>
        <w:jc w:val="both"/>
        <w:rPr>
          <w:rFonts w:ascii="Century Gothic" w:hAnsi="Century Gothic"/>
        </w:rPr>
      </w:pPr>
      <w:r>
        <w:rPr>
          <w:rFonts w:ascii="Century Gothic" w:hAnsi="Century Gothic"/>
        </w:rPr>
        <w:t xml:space="preserve">   3           On Accountants’ Fees/Charges                              100,000</w:t>
      </w:r>
    </w:p>
    <w:p w14:paraId="407D3983" w14:textId="684C8D5E" w:rsidR="00CD3764" w:rsidRDefault="00CD3764" w:rsidP="006234F7">
      <w:pPr>
        <w:pStyle w:val="NoSpacing"/>
        <w:jc w:val="both"/>
        <w:rPr>
          <w:rFonts w:ascii="Century Gothic" w:hAnsi="Century Gothic"/>
        </w:rPr>
      </w:pPr>
      <w:r>
        <w:rPr>
          <w:rFonts w:ascii="Century Gothic" w:hAnsi="Century Gothic"/>
        </w:rPr>
        <w:t xml:space="preserve">   4           On Depreciation                                                </w:t>
      </w:r>
      <w:r w:rsidRPr="00CD3764">
        <w:rPr>
          <w:rFonts w:ascii="Century Gothic" w:hAnsi="Century Gothic"/>
          <w:u w:val="single"/>
        </w:rPr>
        <w:t xml:space="preserve">        </w:t>
      </w:r>
      <w:r w:rsidR="00666C3D">
        <w:rPr>
          <w:rFonts w:ascii="Century Gothic" w:hAnsi="Century Gothic"/>
          <w:u w:val="single"/>
        </w:rPr>
        <w:t>2</w:t>
      </w:r>
      <w:r w:rsidRPr="00CD3764">
        <w:rPr>
          <w:rFonts w:ascii="Century Gothic" w:hAnsi="Century Gothic"/>
          <w:u w:val="single"/>
        </w:rPr>
        <w:t>00,000</w:t>
      </w:r>
    </w:p>
    <w:p w14:paraId="01B579C7" w14:textId="77777777" w:rsidR="003E768A" w:rsidRDefault="00CD3764" w:rsidP="006234F7">
      <w:pPr>
        <w:pStyle w:val="NoSpacing"/>
        <w:jc w:val="both"/>
        <w:rPr>
          <w:rFonts w:ascii="Century Gothic" w:hAnsi="Century Gothic"/>
          <w:u w:val="single"/>
        </w:rPr>
      </w:pPr>
      <w:r>
        <w:rPr>
          <w:rFonts w:ascii="Century Gothic" w:hAnsi="Century Gothic"/>
        </w:rPr>
        <w:t xml:space="preserve">                                             Total Sum Insured                   </w:t>
      </w:r>
      <w:r w:rsidRPr="00CD3764">
        <w:rPr>
          <w:rFonts w:ascii="Century Gothic" w:hAnsi="Century Gothic"/>
          <w:u w:val="single"/>
        </w:rPr>
        <w:t>$11,</w:t>
      </w:r>
      <w:r w:rsidR="00666C3D">
        <w:rPr>
          <w:rFonts w:ascii="Century Gothic" w:hAnsi="Century Gothic"/>
          <w:u w:val="single"/>
        </w:rPr>
        <w:t>3</w:t>
      </w:r>
      <w:r w:rsidRPr="00CD3764">
        <w:rPr>
          <w:rFonts w:ascii="Century Gothic" w:hAnsi="Century Gothic"/>
          <w:u w:val="single"/>
        </w:rPr>
        <w:t>00,000</w:t>
      </w:r>
    </w:p>
    <w:p w14:paraId="62E3A0F6" w14:textId="77777777" w:rsidR="003E768A" w:rsidRDefault="003E768A" w:rsidP="006234F7">
      <w:pPr>
        <w:pStyle w:val="NoSpacing"/>
        <w:jc w:val="both"/>
        <w:rPr>
          <w:rFonts w:ascii="Century Gothic" w:hAnsi="Century Gothic"/>
          <w:b/>
        </w:rPr>
      </w:pPr>
    </w:p>
    <w:p w14:paraId="2E61478D" w14:textId="2A0D7F91" w:rsidR="00CD3764" w:rsidRPr="003E768A" w:rsidRDefault="008022E3" w:rsidP="006234F7">
      <w:pPr>
        <w:pStyle w:val="NoSpacing"/>
        <w:jc w:val="both"/>
        <w:rPr>
          <w:rFonts w:ascii="Century Gothic" w:hAnsi="Century Gothic"/>
          <w:u w:val="single"/>
        </w:rPr>
      </w:pPr>
      <w:r w:rsidRPr="00A11435">
        <w:rPr>
          <w:rFonts w:ascii="Century Gothic" w:hAnsi="Century Gothic"/>
          <w:b/>
        </w:rPr>
        <w:t xml:space="preserve">Irreconcilability between </w:t>
      </w:r>
      <w:r w:rsidR="00A11435" w:rsidRPr="00A11435">
        <w:rPr>
          <w:rFonts w:ascii="Century Gothic" w:hAnsi="Century Gothic"/>
          <w:b/>
        </w:rPr>
        <w:t xml:space="preserve">the Principle of Depreciation </w:t>
      </w:r>
      <w:r w:rsidR="00A11435">
        <w:rPr>
          <w:rFonts w:ascii="Century Gothic" w:hAnsi="Century Gothic"/>
          <w:b/>
        </w:rPr>
        <w:t xml:space="preserve">(“PD”) </w:t>
      </w:r>
      <w:r w:rsidR="00A11435" w:rsidRPr="00A11435">
        <w:rPr>
          <w:rFonts w:ascii="Century Gothic" w:hAnsi="Century Gothic"/>
          <w:b/>
        </w:rPr>
        <w:t>and the Principle of Indemnity</w:t>
      </w:r>
      <w:r w:rsidR="00A11435">
        <w:rPr>
          <w:rFonts w:ascii="Century Gothic" w:hAnsi="Century Gothic"/>
          <w:b/>
        </w:rPr>
        <w:t xml:space="preserve"> (“PI”)</w:t>
      </w:r>
    </w:p>
    <w:p w14:paraId="1E867C7F" w14:textId="2862E270" w:rsidR="008022E3" w:rsidRDefault="008022E3" w:rsidP="006234F7">
      <w:pPr>
        <w:pStyle w:val="NoSpacing"/>
        <w:jc w:val="both"/>
        <w:rPr>
          <w:rFonts w:ascii="Century Gothic" w:hAnsi="Century Gothic"/>
          <w:b/>
        </w:rPr>
      </w:pPr>
    </w:p>
    <w:p w14:paraId="7495B568" w14:textId="7716040B" w:rsidR="008022E3" w:rsidRDefault="00A11435" w:rsidP="006234F7">
      <w:pPr>
        <w:pStyle w:val="NoSpacing"/>
        <w:jc w:val="both"/>
        <w:rPr>
          <w:rFonts w:ascii="Century Gothic" w:hAnsi="Century Gothic"/>
        </w:rPr>
      </w:pPr>
      <w:r>
        <w:rPr>
          <w:rFonts w:ascii="Century Gothic" w:hAnsi="Century Gothic"/>
        </w:rPr>
        <w:t>PD is related to a “past event” in which the diminishing value of the asset had been accounted for in the financial statement.</w:t>
      </w:r>
    </w:p>
    <w:p w14:paraId="22A6012D" w14:textId="5587D378" w:rsidR="00A11435" w:rsidRDefault="00A11435" w:rsidP="006234F7">
      <w:pPr>
        <w:pStyle w:val="NoSpacing"/>
        <w:jc w:val="both"/>
        <w:rPr>
          <w:rFonts w:ascii="Century Gothic" w:hAnsi="Century Gothic"/>
        </w:rPr>
      </w:pPr>
    </w:p>
    <w:p w14:paraId="56C87E4E" w14:textId="311DD4CA" w:rsidR="00A11435" w:rsidRDefault="00A11435" w:rsidP="006234F7">
      <w:pPr>
        <w:pStyle w:val="NoSpacing"/>
        <w:jc w:val="both"/>
        <w:rPr>
          <w:rFonts w:ascii="Century Gothic" w:hAnsi="Century Gothic"/>
        </w:rPr>
      </w:pPr>
      <w:r>
        <w:rPr>
          <w:rFonts w:ascii="Century Gothic" w:hAnsi="Century Gothic"/>
        </w:rPr>
        <w:t xml:space="preserve">PI is concerned </w:t>
      </w:r>
      <w:r w:rsidR="00E80050">
        <w:rPr>
          <w:rFonts w:ascii="Century Gothic" w:hAnsi="Century Gothic"/>
        </w:rPr>
        <w:t>with the “future event” called interruption (indemnity) period in which the BI loss is assessed appropriately termed “what would have been but for the loss”.</w:t>
      </w:r>
    </w:p>
    <w:p w14:paraId="49F9F023" w14:textId="147E4662" w:rsidR="00E80050" w:rsidRDefault="00E80050" w:rsidP="006234F7">
      <w:pPr>
        <w:pStyle w:val="NoSpacing"/>
        <w:jc w:val="both"/>
        <w:rPr>
          <w:rFonts w:ascii="Century Gothic" w:hAnsi="Century Gothic"/>
        </w:rPr>
      </w:pPr>
    </w:p>
    <w:p w14:paraId="4B5EE502" w14:textId="1F96E2BF" w:rsidR="00E80050" w:rsidRDefault="00E80050" w:rsidP="006234F7">
      <w:pPr>
        <w:pStyle w:val="NoSpacing"/>
        <w:jc w:val="both"/>
        <w:rPr>
          <w:rFonts w:ascii="Century Gothic" w:hAnsi="Century Gothic"/>
        </w:rPr>
      </w:pPr>
      <w:r>
        <w:rPr>
          <w:rFonts w:ascii="Century Gothic" w:hAnsi="Century Gothic"/>
        </w:rPr>
        <w:t>Following a BI loss, the indemnity period commences from the date of loss (DOL) until the date the turnover has returned to normal</w:t>
      </w:r>
      <w:r w:rsidR="0074042D">
        <w:rPr>
          <w:rFonts w:ascii="Century Gothic" w:hAnsi="Century Gothic"/>
        </w:rPr>
        <w:t>,</w:t>
      </w:r>
      <w:r>
        <w:rPr>
          <w:rFonts w:ascii="Century Gothic" w:hAnsi="Century Gothic"/>
        </w:rPr>
        <w:t xml:space="preserve"> within the maximum period of indemnity insured or otherwise.</w:t>
      </w:r>
    </w:p>
    <w:p w14:paraId="1020550D" w14:textId="436B8A0C" w:rsidR="00E80050" w:rsidRDefault="00E80050" w:rsidP="006234F7">
      <w:pPr>
        <w:pStyle w:val="NoSpacing"/>
        <w:jc w:val="both"/>
        <w:rPr>
          <w:rFonts w:ascii="Century Gothic" w:hAnsi="Century Gothic"/>
        </w:rPr>
      </w:pPr>
    </w:p>
    <w:p w14:paraId="445D463F" w14:textId="253582FA" w:rsidR="00E80050" w:rsidRDefault="00E80050" w:rsidP="006234F7">
      <w:pPr>
        <w:pStyle w:val="NoSpacing"/>
        <w:jc w:val="both"/>
        <w:rPr>
          <w:rFonts w:ascii="Century Gothic" w:hAnsi="Century Gothic"/>
        </w:rPr>
      </w:pPr>
      <w:r>
        <w:rPr>
          <w:rFonts w:ascii="Century Gothic" w:hAnsi="Century Gothic"/>
        </w:rPr>
        <w:t>It follows that the Gross Profit (GP) is derived from the last financial statement</w:t>
      </w:r>
      <w:r w:rsidR="008F681F">
        <w:rPr>
          <w:rFonts w:ascii="Century Gothic" w:hAnsi="Century Gothic"/>
        </w:rPr>
        <w:t>,</w:t>
      </w:r>
      <w:r>
        <w:rPr>
          <w:rFonts w:ascii="Century Gothic" w:hAnsi="Century Gothic"/>
        </w:rPr>
        <w:t xml:space="preserve"> anterior to the said loss</w:t>
      </w:r>
      <w:r w:rsidR="008F681F">
        <w:rPr>
          <w:rFonts w:ascii="Century Gothic" w:hAnsi="Century Gothic"/>
        </w:rPr>
        <w:t>, using the Difference Basis of calculation.</w:t>
      </w:r>
    </w:p>
    <w:p w14:paraId="1DF9450B" w14:textId="77777777" w:rsidR="00A45968" w:rsidRDefault="00A45968" w:rsidP="006234F7">
      <w:pPr>
        <w:pStyle w:val="NoSpacing"/>
        <w:jc w:val="both"/>
        <w:rPr>
          <w:rFonts w:ascii="Century Gothic" w:hAnsi="Century Gothic"/>
        </w:rPr>
      </w:pPr>
    </w:p>
    <w:p w14:paraId="02338B42" w14:textId="60790673" w:rsidR="00E80050" w:rsidRDefault="008F681F" w:rsidP="006234F7">
      <w:pPr>
        <w:pStyle w:val="NoSpacing"/>
        <w:jc w:val="both"/>
        <w:rPr>
          <w:rFonts w:ascii="Century Gothic" w:hAnsi="Century Gothic"/>
        </w:rPr>
      </w:pPr>
      <w:r>
        <w:rPr>
          <w:rFonts w:ascii="Century Gothic" w:hAnsi="Century Gothic"/>
        </w:rPr>
        <w:t>Typically, the gross profit as defined, inclusive of depreciation, is factored to arrive at the Rate of Gross Profit (RGP).</w:t>
      </w:r>
    </w:p>
    <w:p w14:paraId="66BC13F4" w14:textId="58565599" w:rsidR="008F681F" w:rsidRDefault="008F681F" w:rsidP="006234F7">
      <w:pPr>
        <w:pStyle w:val="NoSpacing"/>
        <w:jc w:val="both"/>
        <w:rPr>
          <w:rFonts w:ascii="Century Gothic" w:hAnsi="Century Gothic"/>
        </w:rPr>
      </w:pPr>
    </w:p>
    <w:p w14:paraId="031EC63F" w14:textId="7D9538A9" w:rsidR="008F681F" w:rsidRDefault="008F681F" w:rsidP="006234F7">
      <w:pPr>
        <w:pStyle w:val="NoSpacing"/>
        <w:jc w:val="both"/>
        <w:rPr>
          <w:rFonts w:ascii="Century Gothic" w:hAnsi="Century Gothic"/>
        </w:rPr>
      </w:pPr>
      <w:r>
        <w:rPr>
          <w:rFonts w:ascii="Century Gothic" w:hAnsi="Century Gothic"/>
        </w:rPr>
        <w:t xml:space="preserve">In a nutshell, the “past event” </w:t>
      </w:r>
      <w:r w:rsidR="0074042D">
        <w:rPr>
          <w:rFonts w:ascii="Century Gothic" w:hAnsi="Century Gothic"/>
        </w:rPr>
        <w:t xml:space="preserve">as </w:t>
      </w:r>
      <w:r>
        <w:rPr>
          <w:rFonts w:ascii="Century Gothic" w:hAnsi="Century Gothic"/>
        </w:rPr>
        <w:t>per financial statement is based on fact</w:t>
      </w:r>
      <w:r w:rsidR="00A70198">
        <w:rPr>
          <w:rFonts w:ascii="Century Gothic" w:hAnsi="Century Gothic"/>
        </w:rPr>
        <w:t>s</w:t>
      </w:r>
      <w:r>
        <w:rPr>
          <w:rFonts w:ascii="Century Gothic" w:hAnsi="Century Gothic"/>
        </w:rPr>
        <w:t xml:space="preserve"> wher</w:t>
      </w:r>
      <w:r w:rsidR="0074042D">
        <w:rPr>
          <w:rFonts w:ascii="Century Gothic" w:hAnsi="Century Gothic"/>
        </w:rPr>
        <w:t>e</w:t>
      </w:r>
      <w:r>
        <w:rPr>
          <w:rFonts w:ascii="Century Gothic" w:hAnsi="Century Gothic"/>
        </w:rPr>
        <w:t xml:space="preserve">as the </w:t>
      </w:r>
      <w:r w:rsidR="0074042D">
        <w:rPr>
          <w:rFonts w:ascii="Century Gothic" w:hAnsi="Century Gothic"/>
        </w:rPr>
        <w:t>“</w:t>
      </w:r>
      <w:r>
        <w:rPr>
          <w:rFonts w:ascii="Century Gothic" w:hAnsi="Century Gothic"/>
        </w:rPr>
        <w:t>future event</w:t>
      </w:r>
      <w:r w:rsidR="0074042D">
        <w:rPr>
          <w:rFonts w:ascii="Century Gothic" w:hAnsi="Century Gothic"/>
        </w:rPr>
        <w:t>”</w:t>
      </w:r>
      <w:r>
        <w:rPr>
          <w:rFonts w:ascii="Century Gothic" w:hAnsi="Century Gothic"/>
        </w:rPr>
        <w:t xml:space="preserve">, </w:t>
      </w:r>
      <w:r w:rsidR="0074042D">
        <w:rPr>
          <w:rFonts w:ascii="Century Gothic" w:hAnsi="Century Gothic"/>
        </w:rPr>
        <w:t xml:space="preserve">that is, </w:t>
      </w:r>
      <w:r>
        <w:rPr>
          <w:rFonts w:ascii="Century Gothic" w:hAnsi="Century Gothic"/>
        </w:rPr>
        <w:t>what would have been but for the loss</w:t>
      </w:r>
      <w:r w:rsidR="0074042D">
        <w:rPr>
          <w:rFonts w:ascii="Century Gothic" w:hAnsi="Century Gothic"/>
        </w:rPr>
        <w:t>,</w:t>
      </w:r>
      <w:r>
        <w:rPr>
          <w:rFonts w:ascii="Century Gothic" w:hAnsi="Century Gothic"/>
        </w:rPr>
        <w:t xml:space="preserve"> is based on </w:t>
      </w:r>
      <w:r w:rsidR="0074042D">
        <w:rPr>
          <w:rFonts w:ascii="Century Gothic" w:hAnsi="Century Gothic"/>
        </w:rPr>
        <w:t xml:space="preserve">a </w:t>
      </w:r>
      <w:r>
        <w:rPr>
          <w:rFonts w:ascii="Century Gothic" w:hAnsi="Century Gothic"/>
        </w:rPr>
        <w:lastRenderedPageBreak/>
        <w:t>calculated speculation, not fact</w:t>
      </w:r>
      <w:r w:rsidR="00A70198">
        <w:rPr>
          <w:rFonts w:ascii="Century Gothic" w:hAnsi="Century Gothic"/>
        </w:rPr>
        <w:t>s</w:t>
      </w:r>
      <w:r>
        <w:rPr>
          <w:rFonts w:ascii="Century Gothic" w:hAnsi="Century Gothic"/>
        </w:rPr>
        <w:t xml:space="preserve">. </w:t>
      </w:r>
      <w:r w:rsidR="00A70198">
        <w:rPr>
          <w:rFonts w:ascii="Century Gothic" w:hAnsi="Century Gothic"/>
        </w:rPr>
        <w:t xml:space="preserve">would be </w:t>
      </w:r>
      <w:r w:rsidR="0074042D">
        <w:rPr>
          <w:rFonts w:ascii="Century Gothic" w:hAnsi="Century Gothic"/>
        </w:rPr>
        <w:t xml:space="preserve">subject to an audit exercise and the Inland Revenue Board’s final valuation. As such, </w:t>
      </w:r>
      <w:r w:rsidR="00A70198">
        <w:rPr>
          <w:rFonts w:ascii="Century Gothic" w:hAnsi="Century Gothic"/>
        </w:rPr>
        <w:t xml:space="preserve">the calculated speculation on </w:t>
      </w:r>
      <w:r w:rsidR="0074042D">
        <w:rPr>
          <w:rFonts w:ascii="Century Gothic" w:hAnsi="Century Gothic"/>
        </w:rPr>
        <w:t>depreciation is merely a provision.</w:t>
      </w:r>
    </w:p>
    <w:p w14:paraId="0E085EE2" w14:textId="77777777" w:rsidR="00ED5DFF" w:rsidRDefault="00ED5DFF" w:rsidP="006234F7">
      <w:pPr>
        <w:pStyle w:val="NoSpacing"/>
        <w:jc w:val="both"/>
        <w:rPr>
          <w:rFonts w:ascii="Century Gothic" w:hAnsi="Century Gothic"/>
          <w:b/>
        </w:rPr>
      </w:pPr>
    </w:p>
    <w:p w14:paraId="3AE15F8A" w14:textId="77777777" w:rsidR="00ED5DFF" w:rsidRDefault="00ED5DFF" w:rsidP="006234F7">
      <w:pPr>
        <w:pStyle w:val="NoSpacing"/>
        <w:jc w:val="both"/>
        <w:rPr>
          <w:rFonts w:ascii="Century Gothic" w:hAnsi="Century Gothic"/>
          <w:b/>
        </w:rPr>
      </w:pPr>
    </w:p>
    <w:p w14:paraId="2E8686AF" w14:textId="55B5583C" w:rsidR="000E345B" w:rsidRDefault="000E345B" w:rsidP="006234F7">
      <w:pPr>
        <w:pStyle w:val="NoSpacing"/>
        <w:jc w:val="both"/>
        <w:rPr>
          <w:rFonts w:ascii="Century Gothic" w:hAnsi="Century Gothic"/>
          <w:b/>
        </w:rPr>
      </w:pPr>
      <w:r w:rsidRPr="00E22F3D">
        <w:rPr>
          <w:rFonts w:ascii="Century Gothic" w:hAnsi="Century Gothic"/>
          <w:b/>
        </w:rPr>
        <w:t>Conclusion</w:t>
      </w:r>
    </w:p>
    <w:p w14:paraId="2906D03D" w14:textId="77777777" w:rsidR="0073004E" w:rsidRPr="00E22F3D" w:rsidRDefault="0073004E" w:rsidP="006234F7">
      <w:pPr>
        <w:pStyle w:val="NoSpacing"/>
        <w:jc w:val="both"/>
        <w:rPr>
          <w:rFonts w:ascii="Century Gothic" w:hAnsi="Century Gothic"/>
          <w:b/>
        </w:rPr>
      </w:pPr>
    </w:p>
    <w:p w14:paraId="2223FB30" w14:textId="63A3C28B" w:rsidR="000E345B" w:rsidRDefault="000E345B" w:rsidP="006234F7">
      <w:pPr>
        <w:pStyle w:val="NoSpacing"/>
        <w:jc w:val="both"/>
        <w:rPr>
          <w:rFonts w:ascii="Century Gothic" w:hAnsi="Century Gothic"/>
        </w:rPr>
      </w:pPr>
      <w:r>
        <w:rPr>
          <w:rFonts w:ascii="Century Gothic" w:hAnsi="Century Gothic"/>
        </w:rPr>
        <w:t>In the final analysis, it is noteworthy that despite the fact that the MASB, IASB, Inland Revenue Board, and other authorities and professional bodies do not regard Depreciation as a fixed cost, it defies logic as to why those in the insurance sector continue to pontificate depreciation as a fixed cost?</w:t>
      </w:r>
    </w:p>
    <w:p w14:paraId="1C6B2F02" w14:textId="56F71167" w:rsidR="000E345B" w:rsidRDefault="000E345B" w:rsidP="006234F7">
      <w:pPr>
        <w:pStyle w:val="NoSpacing"/>
        <w:jc w:val="both"/>
        <w:rPr>
          <w:rFonts w:ascii="Century Gothic" w:hAnsi="Century Gothic"/>
        </w:rPr>
      </w:pPr>
    </w:p>
    <w:p w14:paraId="5F6386AA" w14:textId="6C64FB54" w:rsidR="000E345B" w:rsidRDefault="000E345B" w:rsidP="006234F7">
      <w:pPr>
        <w:pStyle w:val="NoSpacing"/>
        <w:jc w:val="both"/>
        <w:rPr>
          <w:rFonts w:ascii="Century Gothic" w:hAnsi="Century Gothic"/>
        </w:rPr>
      </w:pPr>
      <w:r>
        <w:rPr>
          <w:rFonts w:ascii="Century Gothic" w:hAnsi="Century Gothic"/>
        </w:rPr>
        <w:t xml:space="preserve">It is axiomatic that Depreciation is an allocation simpliciter designed for specific purpose of its </w:t>
      </w:r>
      <w:r w:rsidR="00790811">
        <w:rPr>
          <w:rFonts w:ascii="Century Gothic" w:hAnsi="Century Gothic"/>
        </w:rPr>
        <w:t>facsimile</w:t>
      </w:r>
      <w:r>
        <w:rPr>
          <w:rFonts w:ascii="Century Gothic" w:hAnsi="Century Gothic"/>
        </w:rPr>
        <w:t xml:space="preserve"> Capital Allowance to be deducted from the Net Profit of the business as at the</w:t>
      </w:r>
      <w:r w:rsidR="00521F14">
        <w:rPr>
          <w:rFonts w:ascii="Century Gothic" w:hAnsi="Century Gothic"/>
        </w:rPr>
        <w:t xml:space="preserve"> financial year-end.</w:t>
      </w:r>
    </w:p>
    <w:p w14:paraId="46010994" w14:textId="77777777" w:rsidR="00BA5619" w:rsidRDefault="00BA5619" w:rsidP="006234F7">
      <w:pPr>
        <w:pStyle w:val="NoSpacing"/>
        <w:jc w:val="both"/>
        <w:rPr>
          <w:rFonts w:ascii="Century Gothic" w:hAnsi="Century Gothic"/>
        </w:rPr>
      </w:pPr>
    </w:p>
    <w:p w14:paraId="1CF5C78A" w14:textId="38A250C3" w:rsidR="00521F14" w:rsidRDefault="00521F14" w:rsidP="006234F7">
      <w:pPr>
        <w:pStyle w:val="NoSpacing"/>
        <w:jc w:val="both"/>
        <w:rPr>
          <w:rFonts w:ascii="Century Gothic" w:hAnsi="Century Gothic"/>
        </w:rPr>
      </w:pPr>
      <w:r>
        <w:rPr>
          <w:rFonts w:ascii="Century Gothic" w:hAnsi="Century Gothic"/>
        </w:rPr>
        <w:t xml:space="preserve">Just picture this, what one’s business put in as a capital to purchase an asset, later, one recovers one’s same capital (in the guise of depreciation), as allowed by law, in the form of Capital Allowance from one’s own Net Profit of the business at the close of the financial year. Hence, the Capital Allowance is </w:t>
      </w:r>
      <w:r w:rsidR="00790811">
        <w:rPr>
          <w:rFonts w:ascii="Century Gothic" w:hAnsi="Century Gothic"/>
        </w:rPr>
        <w:t xml:space="preserve">regarded as </w:t>
      </w:r>
      <w:r>
        <w:rPr>
          <w:rFonts w:ascii="Century Gothic" w:hAnsi="Century Gothic"/>
        </w:rPr>
        <w:t>a redeemable credit against the Net Profit, sanctioned by law, in reduction of tax liability during that year of assessment.</w:t>
      </w:r>
      <w:r w:rsidR="00CD3764">
        <w:rPr>
          <w:rFonts w:ascii="Century Gothic" w:hAnsi="Century Gothic"/>
        </w:rPr>
        <w:t xml:space="preserve"> There is no movement of cash flow.</w:t>
      </w:r>
    </w:p>
    <w:p w14:paraId="329DBEE0" w14:textId="77777777" w:rsidR="00F56DDB" w:rsidRDefault="00F56DDB" w:rsidP="006234F7">
      <w:pPr>
        <w:pStyle w:val="NoSpacing"/>
        <w:jc w:val="both"/>
        <w:rPr>
          <w:rFonts w:ascii="Century Gothic" w:hAnsi="Century Gothic"/>
        </w:rPr>
      </w:pPr>
    </w:p>
    <w:p w14:paraId="1B957366" w14:textId="2E19E61D" w:rsidR="00521F14" w:rsidRDefault="00F5109F" w:rsidP="006234F7">
      <w:pPr>
        <w:pStyle w:val="NoSpacing"/>
        <w:jc w:val="both"/>
        <w:rPr>
          <w:rFonts w:ascii="Century Gothic" w:hAnsi="Century Gothic"/>
        </w:rPr>
      </w:pPr>
      <w:r>
        <w:rPr>
          <w:rFonts w:ascii="Century Gothic" w:hAnsi="Century Gothic"/>
        </w:rPr>
        <w:t>Another aspect, i</w:t>
      </w:r>
      <w:r w:rsidR="00521F14">
        <w:rPr>
          <w:rFonts w:ascii="Century Gothic" w:hAnsi="Century Gothic"/>
        </w:rPr>
        <w:t xml:space="preserve">t would seem incredulous to the Business insured that, in a short-term interruption period, attributed to an insured peril, indemnity for admissible depreciation, as a </w:t>
      </w:r>
      <w:r w:rsidR="00D0035C">
        <w:rPr>
          <w:rFonts w:ascii="Century Gothic" w:hAnsi="Century Gothic"/>
        </w:rPr>
        <w:t>standing charge</w:t>
      </w:r>
      <w:r w:rsidR="00521F14">
        <w:rPr>
          <w:rFonts w:ascii="Century Gothic" w:hAnsi="Century Gothic"/>
        </w:rPr>
        <w:t>, will be pro-rated to that period, the remainder period provision, or allocation, is regarded as savings</w:t>
      </w:r>
      <w:r w:rsidR="00E916C3">
        <w:rPr>
          <w:rStyle w:val="FootnoteReference"/>
          <w:rFonts w:ascii="Century Gothic" w:hAnsi="Century Gothic"/>
        </w:rPr>
        <w:footnoteReference w:id="59"/>
      </w:r>
      <w:r w:rsidR="00521F14">
        <w:rPr>
          <w:rFonts w:ascii="Century Gothic" w:hAnsi="Century Gothic"/>
        </w:rPr>
        <w:t>.</w:t>
      </w:r>
      <w:r w:rsidR="00D0035C">
        <w:rPr>
          <w:rFonts w:ascii="Century Gothic" w:hAnsi="Century Gothic"/>
        </w:rPr>
        <w:t xml:space="preserve"> </w:t>
      </w:r>
      <w:r w:rsidR="00902478">
        <w:rPr>
          <w:rFonts w:ascii="Century Gothic" w:hAnsi="Century Gothic"/>
        </w:rPr>
        <w:t>Since</w:t>
      </w:r>
      <w:r w:rsidR="00D0035C">
        <w:rPr>
          <w:rFonts w:ascii="Century Gothic" w:hAnsi="Century Gothic"/>
        </w:rPr>
        <w:t xml:space="preserve"> depreciation is deducted from net profit, whatever savings ought to revert to the net profit</w:t>
      </w:r>
      <w:r w:rsidR="00A45196">
        <w:rPr>
          <w:rFonts w:ascii="Century Gothic" w:hAnsi="Century Gothic"/>
        </w:rPr>
        <w:t xml:space="preserve">, thus, increasing it as part of the policy indemnity for loss of </w:t>
      </w:r>
      <w:r w:rsidR="00BD3FF7">
        <w:rPr>
          <w:rFonts w:ascii="Century Gothic" w:hAnsi="Century Gothic"/>
        </w:rPr>
        <w:t>Net</w:t>
      </w:r>
      <w:r w:rsidR="00A45196">
        <w:rPr>
          <w:rFonts w:ascii="Century Gothic" w:hAnsi="Century Gothic"/>
        </w:rPr>
        <w:t xml:space="preserve"> Profit.</w:t>
      </w:r>
    </w:p>
    <w:p w14:paraId="4146CDEB" w14:textId="77777777" w:rsidR="00E319EA" w:rsidRDefault="00E319EA" w:rsidP="006234F7">
      <w:pPr>
        <w:pStyle w:val="NoSpacing"/>
        <w:jc w:val="both"/>
        <w:rPr>
          <w:rFonts w:ascii="Century Gothic" w:hAnsi="Century Gothic"/>
        </w:rPr>
      </w:pPr>
    </w:p>
    <w:p w14:paraId="7530C5C3" w14:textId="2E524A0B" w:rsidR="00521F14" w:rsidRDefault="00521F14" w:rsidP="006234F7">
      <w:pPr>
        <w:pStyle w:val="NoSpacing"/>
        <w:jc w:val="both"/>
        <w:rPr>
          <w:rFonts w:ascii="Century Gothic" w:hAnsi="Century Gothic"/>
        </w:rPr>
      </w:pPr>
      <w:r>
        <w:rPr>
          <w:rFonts w:ascii="Century Gothic" w:hAnsi="Century Gothic"/>
        </w:rPr>
        <w:t xml:space="preserve">In closing, in good conscience, it would </w:t>
      </w:r>
      <w:r w:rsidR="0084558C">
        <w:rPr>
          <w:rFonts w:ascii="Century Gothic" w:hAnsi="Century Gothic"/>
        </w:rPr>
        <w:t xml:space="preserve">only </w:t>
      </w:r>
      <w:r>
        <w:rPr>
          <w:rFonts w:ascii="Century Gothic" w:hAnsi="Century Gothic"/>
        </w:rPr>
        <w:t xml:space="preserve">be </w:t>
      </w:r>
      <w:r w:rsidR="00683242">
        <w:rPr>
          <w:rFonts w:ascii="Century Gothic" w:hAnsi="Century Gothic"/>
        </w:rPr>
        <w:t>reasonable</w:t>
      </w:r>
      <w:r>
        <w:rPr>
          <w:rFonts w:ascii="Century Gothic" w:hAnsi="Century Gothic"/>
        </w:rPr>
        <w:t xml:space="preserve"> and equitable for the insured </w:t>
      </w:r>
      <w:r w:rsidR="00E22F3D">
        <w:rPr>
          <w:rFonts w:ascii="Century Gothic" w:hAnsi="Century Gothic"/>
        </w:rPr>
        <w:t xml:space="preserve">to have a freedom of choice, whether or not, to insure Depreciation or </w:t>
      </w:r>
      <w:r w:rsidR="002A3059">
        <w:rPr>
          <w:rFonts w:ascii="Century Gothic" w:hAnsi="Century Gothic"/>
        </w:rPr>
        <w:t xml:space="preserve">a part of it </w:t>
      </w:r>
      <w:r w:rsidR="00E22F3D">
        <w:rPr>
          <w:rFonts w:ascii="Century Gothic" w:hAnsi="Century Gothic"/>
        </w:rPr>
        <w:t>or not insured at all, as an option</w:t>
      </w:r>
      <w:r w:rsidR="00A45196">
        <w:rPr>
          <w:rFonts w:ascii="Century Gothic" w:hAnsi="Century Gothic"/>
        </w:rPr>
        <w:t>al item.</w:t>
      </w:r>
    </w:p>
    <w:p w14:paraId="25C85AAA" w14:textId="124AF6C4" w:rsidR="000D51B8" w:rsidRDefault="000D51B8" w:rsidP="006234F7">
      <w:pPr>
        <w:pStyle w:val="NoSpacing"/>
        <w:jc w:val="both"/>
        <w:rPr>
          <w:rFonts w:ascii="Century Gothic" w:hAnsi="Century Gothic"/>
        </w:rPr>
      </w:pPr>
    </w:p>
    <w:p w14:paraId="6AFF269F" w14:textId="77777777" w:rsidR="00F56DDB" w:rsidRDefault="000D51B8" w:rsidP="006234F7">
      <w:pPr>
        <w:pStyle w:val="NoSpacing"/>
        <w:jc w:val="both"/>
        <w:rPr>
          <w:rFonts w:ascii="Century Gothic" w:hAnsi="Century Gothic"/>
        </w:rPr>
      </w:pPr>
      <w:r>
        <w:rPr>
          <w:rFonts w:ascii="Century Gothic" w:hAnsi="Century Gothic"/>
        </w:rPr>
        <w:t xml:space="preserve">Lastly, let’s give credit to </w:t>
      </w:r>
      <w:r w:rsidR="004E1D5C">
        <w:rPr>
          <w:rFonts w:ascii="Century Gothic" w:hAnsi="Century Gothic"/>
        </w:rPr>
        <w:t>the Finance Director, Finance Manager,</w:t>
      </w:r>
      <w:r>
        <w:rPr>
          <w:rFonts w:ascii="Century Gothic" w:hAnsi="Century Gothic"/>
        </w:rPr>
        <w:t xml:space="preserve"> </w:t>
      </w:r>
      <w:r w:rsidR="004E1D5C">
        <w:rPr>
          <w:rFonts w:ascii="Century Gothic" w:hAnsi="Century Gothic"/>
        </w:rPr>
        <w:t>A</w:t>
      </w:r>
      <w:r>
        <w:rPr>
          <w:rFonts w:ascii="Century Gothic" w:hAnsi="Century Gothic"/>
        </w:rPr>
        <w:t xml:space="preserve">ccountants and internal auditors for their insider’s knowledge of the depreciation structure of the </w:t>
      </w:r>
      <w:r w:rsidR="006234F7">
        <w:rPr>
          <w:rFonts w:ascii="Century Gothic" w:hAnsi="Century Gothic"/>
        </w:rPr>
        <w:t xml:space="preserve">company </w:t>
      </w:r>
      <w:r>
        <w:rPr>
          <w:rFonts w:ascii="Century Gothic" w:hAnsi="Century Gothic"/>
        </w:rPr>
        <w:t xml:space="preserve">assets. </w:t>
      </w:r>
    </w:p>
    <w:p w14:paraId="255C4B20" w14:textId="77777777" w:rsidR="00F56DDB" w:rsidRDefault="00F56DDB" w:rsidP="006234F7">
      <w:pPr>
        <w:pStyle w:val="NoSpacing"/>
        <w:jc w:val="both"/>
        <w:rPr>
          <w:rFonts w:ascii="Century Gothic" w:hAnsi="Century Gothic"/>
        </w:rPr>
      </w:pPr>
    </w:p>
    <w:p w14:paraId="78608E80" w14:textId="4358D0B3" w:rsidR="00F56DDB" w:rsidRDefault="000D51B8" w:rsidP="006234F7">
      <w:pPr>
        <w:pStyle w:val="NoSpacing"/>
        <w:jc w:val="both"/>
        <w:rPr>
          <w:rFonts w:ascii="Century Gothic" w:hAnsi="Century Gothic"/>
        </w:rPr>
      </w:pPr>
      <w:r>
        <w:rPr>
          <w:rFonts w:ascii="Century Gothic" w:hAnsi="Century Gothic"/>
        </w:rPr>
        <w:t xml:space="preserve">Without a shadow of doubt, they are the </w:t>
      </w:r>
      <w:r w:rsidR="006234F7">
        <w:rPr>
          <w:rFonts w:ascii="Century Gothic" w:hAnsi="Century Gothic"/>
        </w:rPr>
        <w:t xml:space="preserve">most </w:t>
      </w:r>
      <w:r>
        <w:rPr>
          <w:rFonts w:ascii="Century Gothic" w:hAnsi="Century Gothic"/>
        </w:rPr>
        <w:t xml:space="preserve">reliable and trustworthy frontline </w:t>
      </w:r>
      <w:r w:rsidR="006234F7">
        <w:rPr>
          <w:rFonts w:ascii="Century Gothic" w:hAnsi="Century Gothic"/>
        </w:rPr>
        <w:t>source</w:t>
      </w:r>
      <w:r w:rsidR="00794458">
        <w:rPr>
          <w:rFonts w:ascii="Century Gothic" w:hAnsi="Century Gothic"/>
        </w:rPr>
        <w:t>s</w:t>
      </w:r>
      <w:r w:rsidR="006234F7">
        <w:rPr>
          <w:rFonts w:ascii="Century Gothic" w:hAnsi="Century Gothic"/>
        </w:rPr>
        <w:t xml:space="preserve"> of priceless information on the depreciation </w:t>
      </w:r>
      <w:r w:rsidR="00BE3116">
        <w:rPr>
          <w:rFonts w:ascii="Century Gothic" w:hAnsi="Century Gothic"/>
        </w:rPr>
        <w:t xml:space="preserve">aspect </w:t>
      </w:r>
      <w:r w:rsidR="006234F7">
        <w:rPr>
          <w:rFonts w:ascii="Century Gothic" w:hAnsi="Century Gothic"/>
        </w:rPr>
        <w:t>of the assets of the Business insured.</w:t>
      </w:r>
      <w:r w:rsidR="004E1D5C">
        <w:rPr>
          <w:rFonts w:ascii="Century Gothic" w:hAnsi="Century Gothic"/>
        </w:rPr>
        <w:t xml:space="preserve"> </w:t>
      </w:r>
    </w:p>
    <w:p w14:paraId="7A74A92B" w14:textId="77777777" w:rsidR="00F56DDB" w:rsidRDefault="00F56DDB" w:rsidP="006234F7">
      <w:pPr>
        <w:pStyle w:val="NoSpacing"/>
        <w:jc w:val="both"/>
        <w:rPr>
          <w:rFonts w:ascii="Century Gothic" w:hAnsi="Century Gothic"/>
        </w:rPr>
      </w:pPr>
    </w:p>
    <w:p w14:paraId="60E969DC" w14:textId="2B47BEEF" w:rsidR="000D51B8" w:rsidRDefault="004E1D5C" w:rsidP="006234F7">
      <w:pPr>
        <w:pStyle w:val="NoSpacing"/>
        <w:jc w:val="both"/>
        <w:rPr>
          <w:rFonts w:ascii="Century Gothic" w:hAnsi="Century Gothic"/>
        </w:rPr>
      </w:pPr>
      <w:r>
        <w:rPr>
          <w:rFonts w:ascii="Century Gothic" w:hAnsi="Century Gothic"/>
        </w:rPr>
        <w:t>The bottom line is that these frontline sources would be able to save millions in premiums by selective Sum Insured on Depreciation as an Optional Charge. Excessive premiums incurred for Depreciation cover as a standing charge are simply an economic waste and a delusion.</w:t>
      </w:r>
    </w:p>
    <w:p w14:paraId="3A110E6A" w14:textId="3B62CE4D" w:rsidR="0020105E" w:rsidRDefault="0020105E" w:rsidP="00AC0D7D">
      <w:pPr>
        <w:pStyle w:val="NoSpacing"/>
        <w:rPr>
          <w:rFonts w:ascii="Century Gothic" w:hAnsi="Century Gothic"/>
        </w:rPr>
      </w:pPr>
    </w:p>
    <w:p w14:paraId="589138FC" w14:textId="77777777" w:rsidR="0020105E" w:rsidRDefault="0020105E" w:rsidP="00AC0D7D">
      <w:pPr>
        <w:pStyle w:val="NoSpacing"/>
        <w:rPr>
          <w:rFonts w:ascii="Century Gothic" w:hAnsi="Century Gothic"/>
        </w:rPr>
      </w:pPr>
    </w:p>
    <w:p w14:paraId="3478AD79" w14:textId="6E1AFF72" w:rsidR="00490AD5" w:rsidRDefault="00E916C3" w:rsidP="00AC0D7D">
      <w:pPr>
        <w:pStyle w:val="NoSpacing"/>
        <w:rPr>
          <w:rFonts w:ascii="Century Gothic" w:hAnsi="Century Gothic"/>
        </w:rPr>
      </w:pPr>
      <w:r>
        <w:rPr>
          <w:rFonts w:ascii="Century Gothic" w:hAnsi="Century Gothic"/>
        </w:rPr>
        <w:t>------------------------------------------------------oo---------------------------------------------------------</w:t>
      </w:r>
    </w:p>
    <w:sectPr w:rsidR="00490AD5" w:rsidSect="00C0247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A8782F" w14:textId="77777777" w:rsidR="00C30CBD" w:rsidRDefault="00C30CBD" w:rsidP="00DE2DC0">
      <w:pPr>
        <w:spacing w:after="0" w:line="240" w:lineRule="auto"/>
      </w:pPr>
      <w:r>
        <w:separator/>
      </w:r>
    </w:p>
  </w:endnote>
  <w:endnote w:type="continuationSeparator" w:id="0">
    <w:p w14:paraId="3227E067" w14:textId="77777777" w:rsidR="00C30CBD" w:rsidRDefault="00C30CBD" w:rsidP="00DE2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C3B300" w14:textId="77777777" w:rsidR="00C30CBD" w:rsidRDefault="00C30CBD" w:rsidP="00DE2DC0">
      <w:pPr>
        <w:spacing w:after="0" w:line="240" w:lineRule="auto"/>
      </w:pPr>
      <w:r>
        <w:separator/>
      </w:r>
    </w:p>
  </w:footnote>
  <w:footnote w:type="continuationSeparator" w:id="0">
    <w:p w14:paraId="7DFF13BB" w14:textId="77777777" w:rsidR="00C30CBD" w:rsidRDefault="00C30CBD" w:rsidP="00DE2DC0">
      <w:pPr>
        <w:spacing w:after="0" w:line="240" w:lineRule="auto"/>
      </w:pPr>
      <w:r>
        <w:continuationSeparator/>
      </w:r>
    </w:p>
  </w:footnote>
  <w:footnote w:id="1">
    <w:p w14:paraId="312D1D95" w14:textId="67F90FA9" w:rsidR="00230731" w:rsidRPr="00DE2DC0" w:rsidRDefault="00230731">
      <w:pPr>
        <w:pStyle w:val="FootnoteText"/>
        <w:rPr>
          <w:lang w:val="en-US"/>
        </w:rPr>
      </w:pPr>
      <w:r>
        <w:rPr>
          <w:rStyle w:val="FootnoteReference"/>
        </w:rPr>
        <w:footnoteRef/>
      </w:r>
      <w:r>
        <w:t xml:space="preserve"> </w:t>
      </w:r>
      <w:r>
        <w:rPr>
          <w:lang w:val="en-US"/>
        </w:rPr>
        <w:t>LF Ong is a pioneer in the Malaysian Loss Adjusting circles. He was the former Chairman of the Association of Malaysian Loss Adjusters (AMLA) and the Chartered Institute of Arbitrators (CI Arb) Malaysia branch, and a former Director of the Malaysian Insurance Institute (MII) (now known as the Asian Institute of Insurance (Aii)). He was an Examiner and also a Question &amp; Answer Setter of the CII/MII Business Interruption insurance examinations at the Associateship level. He had held the position of Deputy Managing Director of an international Loss Adjusting Practice and later, joined a substantial local Loss Adjusting Practice. Currently, he is a practicing Arbitrator and Mediator and is a member of the Advocates &amp; Solicitors Disciplinary Committee of the Malaysian Bar.</w:t>
      </w:r>
    </w:p>
  </w:footnote>
  <w:footnote w:id="2">
    <w:p w14:paraId="4D7D5483" w14:textId="75A1AAE4" w:rsidR="00230731" w:rsidRPr="004F6204" w:rsidRDefault="00230731">
      <w:pPr>
        <w:pStyle w:val="FootnoteText"/>
        <w:rPr>
          <w:lang w:val="en-US"/>
        </w:rPr>
      </w:pPr>
      <w:r>
        <w:rPr>
          <w:rStyle w:val="FootnoteReference"/>
        </w:rPr>
        <w:footnoteRef/>
      </w:r>
      <w:r>
        <w:t xml:space="preserve"> </w:t>
      </w:r>
      <w:r>
        <w:rPr>
          <w:lang w:val="en-US"/>
        </w:rPr>
        <w:t>Additional Increase in Cost of Working and Accountants’ Fees/Charges are actually Optional items insurable at the discretion of the Proposer/Insured.</w:t>
      </w:r>
    </w:p>
  </w:footnote>
  <w:footnote w:id="3">
    <w:p w14:paraId="295D8F64" w14:textId="7AD2A5D6" w:rsidR="00230731" w:rsidRPr="000664BC" w:rsidRDefault="00230731">
      <w:pPr>
        <w:pStyle w:val="FootnoteText"/>
        <w:rPr>
          <w:lang w:val="en-US"/>
        </w:rPr>
      </w:pPr>
      <w:r>
        <w:rPr>
          <w:rStyle w:val="FootnoteReference"/>
        </w:rPr>
        <w:footnoteRef/>
      </w:r>
      <w:r>
        <w:t xml:space="preserve"> </w:t>
      </w:r>
      <w:r>
        <w:rPr>
          <w:lang w:val="en-US"/>
        </w:rPr>
        <w:t>The Tribunal comprised a London-based practicing Queen Counsel/Senior Barrister who is also a Law Professor, a former Malaysian Court of Appeal judge and a former Malaysian High Court judge.</w:t>
      </w:r>
    </w:p>
  </w:footnote>
  <w:footnote w:id="4">
    <w:p w14:paraId="3A2CBD2D" w14:textId="4C19FBE6" w:rsidR="00230731" w:rsidRPr="00564078" w:rsidRDefault="00230731">
      <w:pPr>
        <w:pStyle w:val="FootnoteText"/>
      </w:pPr>
      <w:r>
        <w:rPr>
          <w:rStyle w:val="FootnoteReference"/>
        </w:rPr>
        <w:footnoteRef/>
      </w:r>
      <w:r>
        <w:t xml:space="preserve"> Fixed costs and Standing charges are synonymous. </w:t>
      </w:r>
    </w:p>
  </w:footnote>
  <w:footnote w:id="5">
    <w:p w14:paraId="167DCA2A" w14:textId="77EBE565" w:rsidR="00230731" w:rsidRPr="00265DD2" w:rsidRDefault="00230731">
      <w:pPr>
        <w:pStyle w:val="FootnoteText"/>
      </w:pPr>
      <w:r>
        <w:rPr>
          <w:rStyle w:val="FootnoteReference"/>
        </w:rPr>
        <w:footnoteRef/>
      </w:r>
      <w:r>
        <w:t xml:space="preserve"> Gross Profit comprised  Fixed Costs (Standing Charges) and Net Profit.</w:t>
      </w:r>
    </w:p>
  </w:footnote>
  <w:footnote w:id="6">
    <w:p w14:paraId="09AFF92C" w14:textId="0C929C4B" w:rsidR="00230731" w:rsidRPr="00CE2FB7" w:rsidRDefault="00230731">
      <w:pPr>
        <w:pStyle w:val="FootnoteText"/>
      </w:pPr>
      <w:r>
        <w:rPr>
          <w:rStyle w:val="FootnoteReference"/>
        </w:rPr>
        <w:footnoteRef/>
      </w:r>
      <w:r>
        <w:t xml:space="preserve"> Similar decision on Depreciation was reached by the NSW CA in Mobis Parts Australia Pty Ltd v XL Insurance SE [2018]. see Ibid, 12</w:t>
      </w:r>
    </w:p>
  </w:footnote>
  <w:footnote w:id="7">
    <w:p w14:paraId="172480CA" w14:textId="21B5C264" w:rsidR="00230731" w:rsidRPr="0079444D" w:rsidRDefault="00230731">
      <w:pPr>
        <w:pStyle w:val="FootnoteText"/>
        <w:rPr>
          <w:lang w:val="en-US"/>
        </w:rPr>
      </w:pPr>
      <w:r>
        <w:rPr>
          <w:rStyle w:val="FootnoteReference"/>
        </w:rPr>
        <w:footnoteRef/>
      </w:r>
      <w:r>
        <w:t xml:space="preserve"> </w:t>
      </w:r>
      <w:r>
        <w:rPr>
          <w:lang w:val="en-US"/>
        </w:rPr>
        <w:t>MASB was created by the Financial Reporting Act 1997 (FRA 1997) as a body of the Financial Reporting  Foundation (FRF) on accounting standards for approved financial statements for the perusal of the Securities Commission Malaysia (SCM), Bank Negara Malaysia (BNM) and the Registrar of Companies (SSM).</w:t>
      </w:r>
    </w:p>
  </w:footnote>
  <w:footnote w:id="8">
    <w:p w14:paraId="7C7835D0" w14:textId="77854F95" w:rsidR="00230731" w:rsidRPr="00265DD2" w:rsidRDefault="00230731">
      <w:pPr>
        <w:pStyle w:val="FootnoteText"/>
      </w:pPr>
      <w:r>
        <w:rPr>
          <w:rStyle w:val="FootnoteReference"/>
        </w:rPr>
        <w:footnoteRef/>
      </w:r>
      <w:r>
        <w:t xml:space="preserve"> Standing Charges is synonymous with Fixed Costs and these are expressed interchangeably.</w:t>
      </w:r>
    </w:p>
  </w:footnote>
  <w:footnote w:id="9">
    <w:p w14:paraId="0CD49014" w14:textId="2C50F171" w:rsidR="00230731" w:rsidRPr="00CC7ABC" w:rsidRDefault="00230731">
      <w:pPr>
        <w:pStyle w:val="FootnoteText"/>
        <w:rPr>
          <w:lang w:val="en-US"/>
        </w:rPr>
      </w:pPr>
      <w:r>
        <w:rPr>
          <w:rStyle w:val="FootnoteReference"/>
        </w:rPr>
        <w:footnoteRef/>
      </w:r>
      <w:r>
        <w:t xml:space="preserve"> London-based </w:t>
      </w:r>
      <w:r>
        <w:rPr>
          <w:lang w:val="en-US"/>
        </w:rPr>
        <w:t>IASB was initially established in 1973 as the International Accounting Standards Committee (IASC) changed to its current name in 2001 under the International Financial Reporting Standards (IFRS) Foundation. IASB is an independent body of experts harmonizing IFRS Accounting Standards (IAS) adopted globally by 168 jurisdictions (2024). Needless to say, the IAS are impetus to attract foreign direct Investment (FDI).</w:t>
      </w:r>
    </w:p>
  </w:footnote>
  <w:footnote w:id="10">
    <w:p w14:paraId="59334495" w14:textId="5DDA4113" w:rsidR="00230731" w:rsidRPr="007D65C6" w:rsidRDefault="00230731">
      <w:pPr>
        <w:pStyle w:val="FootnoteText"/>
      </w:pPr>
      <w:r>
        <w:rPr>
          <w:rStyle w:val="FootnoteReference"/>
        </w:rPr>
        <w:footnoteRef/>
      </w:r>
      <w:r>
        <w:t xml:space="preserve"> For full understanding and comprehension of the workings of IAS &amp; IFR Standards, please read the “Conceptual Framework For Financial Reporting” issued by the International Accounting Standards Board in September 2010, revised in March 2018 (Copyright of IFRS Foundation).</w:t>
      </w:r>
    </w:p>
  </w:footnote>
  <w:footnote w:id="11">
    <w:p w14:paraId="1B53621B" w14:textId="4D24F78E" w:rsidR="00230731" w:rsidRPr="00A31511" w:rsidRDefault="00230731">
      <w:pPr>
        <w:pStyle w:val="FootnoteText"/>
        <w:rPr>
          <w:lang w:val="en-US"/>
        </w:rPr>
      </w:pPr>
      <w:r w:rsidRPr="00A31511">
        <w:rPr>
          <w:rStyle w:val="FootnoteReference"/>
          <w:b/>
        </w:rPr>
        <w:footnoteRef/>
      </w:r>
      <w:r w:rsidRPr="00A31511">
        <w:rPr>
          <w:b/>
        </w:rPr>
        <w:t xml:space="preserve"> </w:t>
      </w:r>
      <w:r w:rsidRPr="00A31511">
        <w:rPr>
          <w:b/>
          <w:lang w:val="en-US"/>
        </w:rPr>
        <w:t xml:space="preserve">A Word of Appreciation </w:t>
      </w:r>
      <w:r w:rsidRPr="009B0886">
        <w:rPr>
          <w:lang w:val="en-US"/>
        </w:rPr>
        <w:t xml:space="preserve">on the matters of the </w:t>
      </w:r>
      <w:r>
        <w:rPr>
          <w:lang w:val="en-US"/>
        </w:rPr>
        <w:t>Act is accorded to Mr Vincent Josef, a well-known and reputable Tax Consultant and Trainer in Tax Law and Practice., who had 35 years of distinguished and illuminating career with the Inland Revenue Board, rising through the ranks to the position of Assistant Director-General (now retired). Mr Josef’s invaluable advice and learned views give a succinctly clear picture of the complex workings of  Capital Allowance in the Act.</w:t>
      </w:r>
    </w:p>
  </w:footnote>
  <w:footnote w:id="12">
    <w:p w14:paraId="32CFDC97" w14:textId="259DD8AF" w:rsidR="00230731" w:rsidRPr="00E22C43" w:rsidRDefault="00230731">
      <w:pPr>
        <w:pStyle w:val="FootnoteText"/>
      </w:pPr>
      <w:r>
        <w:rPr>
          <w:rStyle w:val="FootnoteReference"/>
        </w:rPr>
        <w:footnoteRef/>
      </w:r>
      <w:r>
        <w:t xml:space="preserve"> In NV Alliance Sdn BHD v Ketua Pengarah Hasil Dalam Negeri (the IRB) (CoA judgment 4 November 2011), at page 6, where there is no definition of the word “hospitality” in the Act, the Court of Appeal applied the ejusdem generis rule in favour of the Appellant.</w:t>
      </w:r>
    </w:p>
  </w:footnote>
  <w:footnote w:id="13">
    <w:p w14:paraId="6B4302F6" w14:textId="5CC76CEF" w:rsidR="00230731" w:rsidRPr="003C3C06" w:rsidRDefault="00230731">
      <w:pPr>
        <w:pStyle w:val="FootnoteText"/>
        <w:rPr>
          <w:lang w:val="en-US"/>
        </w:rPr>
      </w:pPr>
      <w:r>
        <w:rPr>
          <w:rStyle w:val="FootnoteReference"/>
        </w:rPr>
        <w:footnoteRef/>
      </w:r>
      <w:r>
        <w:t xml:space="preserve"> Commonly called Lord Tenterden’S Rule; Evans v Cross [(1938) 1 KB 694]</w:t>
      </w:r>
    </w:p>
  </w:footnote>
  <w:footnote w:id="14">
    <w:p w14:paraId="4445603A" w14:textId="1B9DA7B7" w:rsidR="00230731" w:rsidRPr="00B33E86" w:rsidRDefault="00230731">
      <w:pPr>
        <w:pStyle w:val="FootnoteText"/>
      </w:pPr>
      <w:r>
        <w:rPr>
          <w:rStyle w:val="FootnoteReference"/>
        </w:rPr>
        <w:footnoteRef/>
      </w:r>
      <w:r>
        <w:t xml:space="preserve"> Depreciation as a deductible expense is deduced from either the straight-line method or Diminishing balance method of depreciation, the latter is much more popular.</w:t>
      </w:r>
    </w:p>
  </w:footnote>
  <w:footnote w:id="15">
    <w:p w14:paraId="19BFC32A" w14:textId="5D5CCE0C" w:rsidR="00230731" w:rsidRPr="003C75AA" w:rsidRDefault="00230731">
      <w:pPr>
        <w:pStyle w:val="FootnoteText"/>
        <w:rPr>
          <w:lang w:val="en-US"/>
        </w:rPr>
      </w:pPr>
      <w:r>
        <w:rPr>
          <w:rStyle w:val="FootnoteReference"/>
        </w:rPr>
        <w:footnoteRef/>
      </w:r>
      <w:r>
        <w:t xml:space="preserve"> </w:t>
      </w:r>
      <w:r>
        <w:rPr>
          <w:lang w:val="en-US"/>
        </w:rPr>
        <w:t>The Insurance Institute of London (IIL) in corroboration with the Chartered institute of Loss Adjusters (CILA) joint  Research Study Group 265, suggested In their report “Business Interruption Policy Wordings” (2024 edition) at pages 12 and 25 that the term ‘Gross Profit’ should be replaced by ‘Insurable Profit’ or ‘Insurance Profit’ or ‘insurance Gross Profit’.</w:t>
      </w:r>
    </w:p>
  </w:footnote>
  <w:footnote w:id="16">
    <w:p w14:paraId="763945B9" w14:textId="5E77C44C" w:rsidR="00230731" w:rsidRPr="00B13017" w:rsidRDefault="00230731">
      <w:pPr>
        <w:pStyle w:val="FootnoteText"/>
        <w:rPr>
          <w:lang w:val="en-US"/>
        </w:rPr>
      </w:pPr>
      <w:r>
        <w:rPr>
          <w:rStyle w:val="FootnoteReference"/>
        </w:rPr>
        <w:footnoteRef/>
      </w:r>
      <w:r>
        <w:t xml:space="preserve"> The word, </w:t>
      </w:r>
      <w:r>
        <w:rPr>
          <w:lang w:val="en-US"/>
        </w:rPr>
        <w:t>Capital Allowance, may not be expressly provisioned in the audited Financial Statements, in its place, Depreciation is generally provided for in the financial statements. On a Difference Basis of Gross Profit calculation, Capital Allowance/Depreciation may be listed as a Specified Working Expense (Uninsured Working Expense) (SWE/UWE).</w:t>
      </w:r>
    </w:p>
  </w:footnote>
  <w:footnote w:id="17">
    <w:p w14:paraId="710A552C" w14:textId="144E87A1" w:rsidR="00230731" w:rsidRPr="00746702" w:rsidRDefault="00230731">
      <w:pPr>
        <w:pStyle w:val="FootnoteText"/>
        <w:rPr>
          <w:lang w:val="en-US"/>
        </w:rPr>
      </w:pPr>
      <w:r>
        <w:rPr>
          <w:rStyle w:val="FootnoteReference"/>
        </w:rPr>
        <w:footnoteRef/>
      </w:r>
      <w:r>
        <w:t xml:space="preserve"> </w:t>
      </w:r>
      <w:r>
        <w:rPr>
          <w:lang w:val="en-US"/>
        </w:rPr>
        <w:t>Sat paragraph 5 of Preface to Fifth edition of Riley (1981).</w:t>
      </w:r>
    </w:p>
  </w:footnote>
  <w:footnote w:id="18">
    <w:p w14:paraId="17EB43E4" w14:textId="00B5893D" w:rsidR="00230731" w:rsidRPr="008A7A7E" w:rsidRDefault="00230731">
      <w:pPr>
        <w:pStyle w:val="FootnoteText"/>
        <w:rPr>
          <w:lang w:val="en-US"/>
        </w:rPr>
      </w:pPr>
      <w:r>
        <w:rPr>
          <w:rStyle w:val="FootnoteReference"/>
        </w:rPr>
        <w:footnoteRef/>
      </w:r>
      <w:r>
        <w:t xml:space="preserve"> </w:t>
      </w:r>
      <w:r>
        <w:rPr>
          <w:lang w:val="en-US"/>
        </w:rPr>
        <w:t>At page 145 of Riley.</w:t>
      </w:r>
    </w:p>
  </w:footnote>
  <w:footnote w:id="19">
    <w:p w14:paraId="5E146846" w14:textId="047B3F37" w:rsidR="00230731" w:rsidRPr="00773D27" w:rsidRDefault="00230731">
      <w:pPr>
        <w:pStyle w:val="FootnoteText"/>
        <w:rPr>
          <w:lang w:val="en-US"/>
        </w:rPr>
      </w:pPr>
      <w:r>
        <w:rPr>
          <w:rStyle w:val="FootnoteReference"/>
        </w:rPr>
        <w:footnoteRef/>
      </w:r>
      <w:r>
        <w:t xml:space="preserve"> </w:t>
      </w:r>
      <w:r>
        <w:rPr>
          <w:lang w:val="en-US"/>
        </w:rPr>
        <w:t>At page 111 of Riley</w:t>
      </w:r>
    </w:p>
  </w:footnote>
  <w:footnote w:id="20">
    <w:p w14:paraId="7FDF0A08" w14:textId="75315633" w:rsidR="00230731" w:rsidRPr="002C76C7" w:rsidRDefault="00230731">
      <w:pPr>
        <w:pStyle w:val="FootnoteText"/>
        <w:rPr>
          <w:lang w:val="en-US"/>
        </w:rPr>
      </w:pPr>
      <w:r>
        <w:rPr>
          <w:rStyle w:val="FootnoteReference"/>
        </w:rPr>
        <w:footnoteRef/>
      </w:r>
      <w:r>
        <w:t xml:space="preserve"> </w:t>
      </w:r>
      <w:r>
        <w:rPr>
          <w:lang w:val="en-US"/>
        </w:rPr>
        <w:t>Latest report indicated 168 countries use the IASs globally.</w:t>
      </w:r>
    </w:p>
  </w:footnote>
  <w:footnote w:id="21">
    <w:p w14:paraId="61B39486" w14:textId="65A71715" w:rsidR="00230731" w:rsidRPr="00AE2560" w:rsidRDefault="00230731">
      <w:pPr>
        <w:pStyle w:val="FootnoteText"/>
        <w:rPr>
          <w:lang w:val="en-US"/>
        </w:rPr>
      </w:pPr>
      <w:r>
        <w:rPr>
          <w:rStyle w:val="FootnoteReference"/>
        </w:rPr>
        <w:footnoteRef/>
      </w:r>
      <w:r>
        <w:t xml:space="preserve"> </w:t>
      </w:r>
      <w:r>
        <w:rPr>
          <w:lang w:val="en-US"/>
        </w:rPr>
        <w:t>At page 138 of Hickmott</w:t>
      </w:r>
    </w:p>
  </w:footnote>
  <w:footnote w:id="22">
    <w:p w14:paraId="1A6BE76F" w14:textId="506FEC16" w:rsidR="00230731" w:rsidRPr="00BC1DEB" w:rsidRDefault="00230731">
      <w:pPr>
        <w:pStyle w:val="FootnoteText"/>
        <w:rPr>
          <w:lang w:val="en-US"/>
        </w:rPr>
      </w:pPr>
      <w:r>
        <w:rPr>
          <w:rStyle w:val="FootnoteReference"/>
        </w:rPr>
        <w:footnoteRef/>
      </w:r>
      <w:r>
        <w:t xml:space="preserve"> </w:t>
      </w:r>
      <w:r>
        <w:rPr>
          <w:lang w:val="en-US"/>
        </w:rPr>
        <w:t>At paragraph 5 of page 138</w:t>
      </w:r>
    </w:p>
  </w:footnote>
  <w:footnote w:id="23">
    <w:p w14:paraId="48001769" w14:textId="6EC879A3" w:rsidR="00230731" w:rsidRPr="00BC1DEB" w:rsidRDefault="00230731">
      <w:pPr>
        <w:pStyle w:val="FootnoteText"/>
        <w:rPr>
          <w:lang w:val="en-US"/>
        </w:rPr>
      </w:pPr>
      <w:r>
        <w:rPr>
          <w:rStyle w:val="FootnoteReference"/>
        </w:rPr>
        <w:footnoteRef/>
      </w:r>
      <w:r>
        <w:t xml:space="preserve"> </w:t>
      </w:r>
      <w:r>
        <w:rPr>
          <w:lang w:val="en-US"/>
        </w:rPr>
        <w:t>At page 140, paragraph 1 of Hickmott</w:t>
      </w:r>
    </w:p>
  </w:footnote>
  <w:footnote w:id="24">
    <w:p w14:paraId="0FC48E3A" w14:textId="4665E70B" w:rsidR="00230731" w:rsidRPr="00FF734F" w:rsidRDefault="00230731">
      <w:pPr>
        <w:pStyle w:val="FootnoteText"/>
        <w:rPr>
          <w:lang w:val="en-US"/>
        </w:rPr>
      </w:pPr>
      <w:r>
        <w:rPr>
          <w:rStyle w:val="FootnoteReference"/>
        </w:rPr>
        <w:footnoteRef/>
      </w:r>
      <w:r>
        <w:t xml:space="preserve"> </w:t>
      </w:r>
      <w:r>
        <w:rPr>
          <w:lang w:val="en-US"/>
        </w:rPr>
        <w:t>At page 128 of Hickmott</w:t>
      </w:r>
    </w:p>
  </w:footnote>
  <w:footnote w:id="25">
    <w:p w14:paraId="77EF357D" w14:textId="26FAC6E8" w:rsidR="00230731" w:rsidRPr="00D36138" w:rsidRDefault="00230731">
      <w:pPr>
        <w:pStyle w:val="FootnoteText"/>
        <w:rPr>
          <w:lang w:val="en-US"/>
        </w:rPr>
      </w:pPr>
      <w:r>
        <w:rPr>
          <w:rStyle w:val="FootnoteReference"/>
        </w:rPr>
        <w:footnoteRef/>
      </w:r>
      <w:r>
        <w:t xml:space="preserve"> </w:t>
      </w:r>
      <w:r>
        <w:rPr>
          <w:lang w:val="en-US"/>
        </w:rPr>
        <w:t>Ibid, 7</w:t>
      </w:r>
    </w:p>
  </w:footnote>
  <w:footnote w:id="26">
    <w:p w14:paraId="46D044FC" w14:textId="524790F0" w:rsidR="00230731" w:rsidRPr="00E71918" w:rsidRDefault="00230731">
      <w:pPr>
        <w:pStyle w:val="FootnoteText"/>
      </w:pPr>
      <w:r>
        <w:rPr>
          <w:rStyle w:val="FootnoteReference"/>
        </w:rPr>
        <w:footnoteRef/>
      </w:r>
      <w:r>
        <w:t xml:space="preserve"> At page 523 paragraph 1 of Hickmott</w:t>
      </w:r>
    </w:p>
  </w:footnote>
  <w:footnote w:id="27">
    <w:p w14:paraId="18B4BB26" w14:textId="3AFD89D5" w:rsidR="00230731" w:rsidRPr="00E71918" w:rsidRDefault="00230731">
      <w:pPr>
        <w:pStyle w:val="FootnoteText"/>
      </w:pPr>
      <w:r>
        <w:rPr>
          <w:rStyle w:val="FootnoteReference"/>
        </w:rPr>
        <w:footnoteRef/>
      </w:r>
      <w:r>
        <w:t xml:space="preserve"> Polikoff Ltd v North British and Mercantile Insurance Co, Ltd (1936) 55 L1. L. Rep. 279</w:t>
      </w:r>
    </w:p>
  </w:footnote>
  <w:footnote w:id="28">
    <w:p w14:paraId="4675085B" w14:textId="4E076F6C" w:rsidR="00230731" w:rsidRPr="00C17AAD" w:rsidRDefault="00230731">
      <w:pPr>
        <w:pStyle w:val="FootnoteText"/>
        <w:rPr>
          <w:lang w:val="en-US"/>
        </w:rPr>
      </w:pPr>
      <w:r>
        <w:rPr>
          <w:rStyle w:val="FootnoteReference"/>
        </w:rPr>
        <w:footnoteRef/>
      </w:r>
      <w:r>
        <w:t xml:space="preserve"> </w:t>
      </w:r>
      <w:r>
        <w:rPr>
          <w:lang w:val="en-US"/>
        </w:rPr>
        <w:t>At page 14, paragraph 3.07 of Gamlen &amp; Phillips</w:t>
      </w:r>
    </w:p>
  </w:footnote>
  <w:footnote w:id="29">
    <w:p w14:paraId="58243A93" w14:textId="708D7DDD" w:rsidR="00230731" w:rsidRPr="008D5506" w:rsidRDefault="00230731">
      <w:pPr>
        <w:pStyle w:val="FootnoteText"/>
        <w:rPr>
          <w:lang w:val="en-US"/>
        </w:rPr>
      </w:pPr>
      <w:r>
        <w:rPr>
          <w:rStyle w:val="FootnoteReference"/>
        </w:rPr>
        <w:footnoteRef/>
      </w:r>
      <w:r>
        <w:t xml:space="preserve"> </w:t>
      </w:r>
      <w:r>
        <w:rPr>
          <w:lang w:val="en-US"/>
        </w:rPr>
        <w:t>Ibid 3, 4 and 5</w:t>
      </w:r>
    </w:p>
  </w:footnote>
  <w:footnote w:id="30">
    <w:p w14:paraId="1B776A60" w14:textId="2FD7AEC0" w:rsidR="00230731" w:rsidRPr="000C0C82" w:rsidRDefault="00230731">
      <w:pPr>
        <w:pStyle w:val="FootnoteText"/>
        <w:rPr>
          <w:lang w:val="en-US"/>
        </w:rPr>
      </w:pPr>
      <w:r>
        <w:rPr>
          <w:rStyle w:val="FootnoteReference"/>
        </w:rPr>
        <w:footnoteRef/>
      </w:r>
      <w:r>
        <w:t xml:space="preserve"> </w:t>
      </w:r>
      <w:r>
        <w:rPr>
          <w:lang w:val="en-US"/>
        </w:rPr>
        <w:t>At page 15 of Gamlen &amp; Phillips.</w:t>
      </w:r>
    </w:p>
  </w:footnote>
  <w:footnote w:id="31">
    <w:p w14:paraId="4088031F" w14:textId="5D3C9CB7" w:rsidR="00230731" w:rsidRPr="000C0C82" w:rsidRDefault="00230731">
      <w:pPr>
        <w:pStyle w:val="FootnoteText"/>
        <w:rPr>
          <w:lang w:val="en-US"/>
        </w:rPr>
      </w:pPr>
      <w:r>
        <w:rPr>
          <w:rStyle w:val="FootnoteReference"/>
        </w:rPr>
        <w:footnoteRef/>
      </w:r>
      <w:r>
        <w:t xml:space="preserve"> </w:t>
      </w:r>
      <w:r>
        <w:rPr>
          <w:lang w:val="en-US"/>
        </w:rPr>
        <w:t>At page 128 of Hickmott.</w:t>
      </w:r>
    </w:p>
  </w:footnote>
  <w:footnote w:id="32">
    <w:p w14:paraId="73DC63B7" w14:textId="4CFAC23D" w:rsidR="00230731" w:rsidRPr="007F2823" w:rsidRDefault="00230731">
      <w:pPr>
        <w:pStyle w:val="FootnoteText"/>
        <w:rPr>
          <w:lang w:val="en-US"/>
        </w:rPr>
      </w:pPr>
      <w:r>
        <w:rPr>
          <w:rStyle w:val="FootnoteReference"/>
        </w:rPr>
        <w:footnoteRef/>
      </w:r>
      <w:r>
        <w:t xml:space="preserve"> </w:t>
      </w:r>
      <w:r>
        <w:rPr>
          <w:lang w:val="en-US"/>
        </w:rPr>
        <w:t>At paragraph 1 of Hanson</w:t>
      </w:r>
    </w:p>
  </w:footnote>
  <w:footnote w:id="33">
    <w:p w14:paraId="32F0A2B1" w14:textId="14AD0BC9" w:rsidR="00230731" w:rsidRPr="007F2823" w:rsidRDefault="00230731">
      <w:pPr>
        <w:pStyle w:val="FootnoteText"/>
        <w:rPr>
          <w:lang w:val="en-US"/>
        </w:rPr>
      </w:pPr>
      <w:r>
        <w:rPr>
          <w:rStyle w:val="FootnoteReference"/>
        </w:rPr>
        <w:footnoteRef/>
      </w:r>
      <w:r>
        <w:t xml:space="preserve"> At paragraph 2 of Hanson</w:t>
      </w:r>
    </w:p>
  </w:footnote>
  <w:footnote w:id="34">
    <w:p w14:paraId="1389609A" w14:textId="746B551C" w:rsidR="00230731" w:rsidRPr="004B11F1" w:rsidRDefault="00230731">
      <w:pPr>
        <w:pStyle w:val="FootnoteText"/>
      </w:pPr>
      <w:r>
        <w:rPr>
          <w:rStyle w:val="FootnoteReference"/>
        </w:rPr>
        <w:footnoteRef/>
      </w:r>
      <w:r>
        <w:t xml:space="preserve"> Formerly Principal Lecturer in Accountancy at the Polytechnic of North London.</w:t>
      </w:r>
    </w:p>
  </w:footnote>
  <w:footnote w:id="35">
    <w:p w14:paraId="0153F49E" w14:textId="5D6794C5" w:rsidR="00230731" w:rsidRPr="00FC32CD" w:rsidRDefault="00230731">
      <w:pPr>
        <w:pStyle w:val="FootnoteText"/>
        <w:rPr>
          <w:lang w:val="en-US"/>
        </w:rPr>
      </w:pPr>
      <w:r>
        <w:rPr>
          <w:rStyle w:val="FootnoteReference"/>
        </w:rPr>
        <w:footnoteRef/>
      </w:r>
      <w:r>
        <w:t xml:space="preserve"> </w:t>
      </w:r>
      <w:r>
        <w:rPr>
          <w:lang w:val="en-US"/>
        </w:rPr>
        <w:t>Mobis Parts Australia Pty Ltd v XL Insurance Company SE [2018] NSWCA 342.</w:t>
      </w:r>
    </w:p>
  </w:footnote>
  <w:footnote w:id="36">
    <w:p w14:paraId="09DC28B8" w14:textId="2FFA1ED4" w:rsidR="00230731" w:rsidRPr="00300727" w:rsidRDefault="00230731">
      <w:pPr>
        <w:pStyle w:val="FootnoteText"/>
        <w:rPr>
          <w:lang w:val="en-US"/>
        </w:rPr>
      </w:pPr>
      <w:r>
        <w:rPr>
          <w:rStyle w:val="FootnoteReference"/>
        </w:rPr>
        <w:footnoteRef/>
      </w:r>
      <w:r>
        <w:t xml:space="preserve"> </w:t>
      </w:r>
      <w:r>
        <w:rPr>
          <w:lang w:val="en-US"/>
        </w:rPr>
        <w:t>Synergy Health (UK) Ltd v CGU Insurance Plc [2010] EWHC 2583</w:t>
      </w:r>
    </w:p>
  </w:footnote>
  <w:footnote w:id="37">
    <w:p w14:paraId="73570151" w14:textId="1907DA04" w:rsidR="00230731" w:rsidRPr="004A78F9" w:rsidRDefault="00230731">
      <w:pPr>
        <w:pStyle w:val="FootnoteText"/>
        <w:rPr>
          <w:lang w:val="en-US"/>
        </w:rPr>
      </w:pPr>
      <w:r>
        <w:rPr>
          <w:rStyle w:val="FootnoteReference"/>
        </w:rPr>
        <w:footnoteRef/>
      </w:r>
      <w:r>
        <w:t xml:space="preserve"> </w:t>
      </w:r>
      <w:r>
        <w:rPr>
          <w:lang w:val="en-US"/>
        </w:rPr>
        <w:t>Ibid, 3</w:t>
      </w:r>
    </w:p>
  </w:footnote>
  <w:footnote w:id="38">
    <w:p w14:paraId="00CB2940" w14:textId="25972FE2" w:rsidR="00230731" w:rsidRPr="004A78F9" w:rsidRDefault="00230731">
      <w:pPr>
        <w:pStyle w:val="FootnoteText"/>
        <w:rPr>
          <w:lang w:val="en-US"/>
        </w:rPr>
      </w:pPr>
      <w:r>
        <w:rPr>
          <w:rStyle w:val="FootnoteReference"/>
        </w:rPr>
        <w:footnoteRef/>
      </w:r>
      <w:r>
        <w:t xml:space="preserve"> </w:t>
      </w:r>
      <w:r>
        <w:rPr>
          <w:lang w:val="en-US"/>
        </w:rPr>
        <w:t>Ibid, 11</w:t>
      </w:r>
    </w:p>
  </w:footnote>
  <w:footnote w:id="39">
    <w:p w14:paraId="53877A3A" w14:textId="6F2FC21A" w:rsidR="00230731" w:rsidRPr="009A3730" w:rsidRDefault="00230731">
      <w:pPr>
        <w:pStyle w:val="FootnoteText"/>
      </w:pPr>
      <w:r>
        <w:rPr>
          <w:rStyle w:val="FootnoteReference"/>
        </w:rPr>
        <w:footnoteRef/>
      </w:r>
      <w:r>
        <w:t xml:space="preserve"> In Malaysia and other countries practising English Law, Mobis case is a persuasive authority.</w:t>
      </w:r>
    </w:p>
  </w:footnote>
  <w:footnote w:id="40">
    <w:p w14:paraId="54A705B0" w14:textId="04FBAAD8" w:rsidR="00230731" w:rsidRPr="00394E46" w:rsidRDefault="00230731">
      <w:pPr>
        <w:pStyle w:val="FootnoteText"/>
        <w:rPr>
          <w:lang w:val="en-US"/>
        </w:rPr>
      </w:pPr>
      <w:r>
        <w:rPr>
          <w:rStyle w:val="FootnoteReference"/>
        </w:rPr>
        <w:footnoteRef/>
      </w:r>
      <w:r>
        <w:t xml:space="preserve"> </w:t>
      </w:r>
      <w:r>
        <w:rPr>
          <w:lang w:val="en-US"/>
        </w:rPr>
        <w:t>Mount Bruce Mining Pty Ltd v Wright Prospecting Pty Ltd (2015) 256 CLR 104</w:t>
      </w:r>
    </w:p>
  </w:footnote>
  <w:footnote w:id="41">
    <w:p w14:paraId="5A3A07B5" w14:textId="59004051" w:rsidR="00230731" w:rsidRPr="00614C6C" w:rsidRDefault="00230731">
      <w:pPr>
        <w:pStyle w:val="FootnoteText"/>
        <w:rPr>
          <w:lang w:val="en-US"/>
        </w:rPr>
      </w:pPr>
      <w:r>
        <w:rPr>
          <w:rStyle w:val="FootnoteReference"/>
        </w:rPr>
        <w:footnoteRef/>
      </w:r>
      <w:r>
        <w:t xml:space="preserve"> </w:t>
      </w:r>
      <w:r>
        <w:rPr>
          <w:lang w:val="en-US"/>
        </w:rPr>
        <w:t>At paragraph 1.1.1 of page 21 of RSG’s report.</w:t>
      </w:r>
    </w:p>
  </w:footnote>
  <w:footnote w:id="42">
    <w:p w14:paraId="10BC4A29" w14:textId="46D419B6" w:rsidR="00230731" w:rsidRPr="00E5337B" w:rsidRDefault="00230731">
      <w:pPr>
        <w:pStyle w:val="FootnoteText"/>
        <w:rPr>
          <w:lang w:val="en-US"/>
        </w:rPr>
      </w:pPr>
      <w:r>
        <w:rPr>
          <w:rStyle w:val="FootnoteReference"/>
        </w:rPr>
        <w:footnoteRef/>
      </w:r>
      <w:r>
        <w:t xml:space="preserve"> At paragraph 1.2.4 of page 26 of RSG’s report</w:t>
      </w:r>
    </w:p>
  </w:footnote>
  <w:footnote w:id="43">
    <w:p w14:paraId="5C6B758B" w14:textId="185DB531" w:rsidR="00230731" w:rsidRPr="002B0DA8" w:rsidRDefault="00230731">
      <w:pPr>
        <w:pStyle w:val="FootnoteText"/>
        <w:rPr>
          <w:lang w:val="en-US"/>
        </w:rPr>
      </w:pPr>
      <w:r>
        <w:rPr>
          <w:rStyle w:val="FootnoteReference"/>
        </w:rPr>
        <w:footnoteRef/>
      </w:r>
      <w:r>
        <w:t xml:space="preserve"> </w:t>
      </w:r>
      <w:r>
        <w:rPr>
          <w:lang w:val="en-US"/>
        </w:rPr>
        <w:t>At pages 75 &amp; 76, paragraph 4.4.2 of the RSG report</w:t>
      </w:r>
    </w:p>
  </w:footnote>
  <w:footnote w:id="44">
    <w:p w14:paraId="67FF3DFF" w14:textId="730679A2" w:rsidR="00230731" w:rsidRPr="00E63868" w:rsidRDefault="00230731">
      <w:pPr>
        <w:pStyle w:val="FootnoteText"/>
        <w:rPr>
          <w:lang w:val="en-US"/>
        </w:rPr>
      </w:pPr>
      <w:r>
        <w:rPr>
          <w:rStyle w:val="FootnoteReference"/>
        </w:rPr>
        <w:footnoteRef/>
      </w:r>
      <w:r>
        <w:t xml:space="preserve"> </w:t>
      </w:r>
      <w:r>
        <w:rPr>
          <w:lang w:val="en-US"/>
        </w:rPr>
        <w:t>Ibid, 2</w:t>
      </w:r>
    </w:p>
  </w:footnote>
  <w:footnote w:id="45">
    <w:p w14:paraId="2FF6177A" w14:textId="13710E6C" w:rsidR="00230731" w:rsidRPr="00E63868" w:rsidRDefault="00230731">
      <w:pPr>
        <w:pStyle w:val="FootnoteText"/>
        <w:rPr>
          <w:lang w:val="en-US"/>
        </w:rPr>
      </w:pPr>
      <w:r>
        <w:rPr>
          <w:rStyle w:val="FootnoteReference"/>
        </w:rPr>
        <w:footnoteRef/>
      </w:r>
      <w:r>
        <w:t xml:space="preserve"> </w:t>
      </w:r>
      <w:r>
        <w:rPr>
          <w:lang w:val="en-US"/>
        </w:rPr>
        <w:t>Ibid, 15</w:t>
      </w:r>
    </w:p>
  </w:footnote>
  <w:footnote w:id="46">
    <w:p w14:paraId="6AB8CE4A" w14:textId="64280905" w:rsidR="00230731" w:rsidRPr="00F927F4" w:rsidRDefault="00230731">
      <w:pPr>
        <w:pStyle w:val="FootnoteText"/>
        <w:rPr>
          <w:lang w:val="en-US"/>
        </w:rPr>
      </w:pPr>
      <w:r>
        <w:rPr>
          <w:rStyle w:val="FootnoteReference"/>
        </w:rPr>
        <w:footnoteRef/>
      </w:r>
      <w:r>
        <w:t xml:space="preserve"> </w:t>
      </w:r>
      <w:r>
        <w:rPr>
          <w:lang w:val="en-US"/>
        </w:rPr>
        <w:t>At page 76 of the RSG’s report.</w:t>
      </w:r>
    </w:p>
  </w:footnote>
  <w:footnote w:id="47">
    <w:p w14:paraId="2CDF3CCE" w14:textId="68124EDA" w:rsidR="00230731" w:rsidRPr="00925533" w:rsidRDefault="00230731">
      <w:pPr>
        <w:pStyle w:val="FootnoteText"/>
        <w:rPr>
          <w:lang w:val="en-US"/>
        </w:rPr>
      </w:pPr>
      <w:r>
        <w:rPr>
          <w:rStyle w:val="FootnoteReference"/>
        </w:rPr>
        <w:footnoteRef/>
      </w:r>
      <w:r>
        <w:t xml:space="preserve"> </w:t>
      </w:r>
      <w:r>
        <w:rPr>
          <w:lang w:val="en-US"/>
        </w:rPr>
        <w:t>Ibid, 7</w:t>
      </w:r>
    </w:p>
  </w:footnote>
  <w:footnote w:id="48">
    <w:p w14:paraId="1ED1E69F" w14:textId="3E1E003D" w:rsidR="00230731" w:rsidRPr="00925533" w:rsidRDefault="00230731">
      <w:pPr>
        <w:pStyle w:val="FootnoteText"/>
        <w:rPr>
          <w:lang w:val="en-US"/>
        </w:rPr>
      </w:pPr>
      <w:r>
        <w:rPr>
          <w:rStyle w:val="FootnoteReference"/>
        </w:rPr>
        <w:footnoteRef/>
      </w:r>
      <w:r>
        <w:t xml:space="preserve"> </w:t>
      </w:r>
      <w:r>
        <w:rPr>
          <w:lang w:val="en-US"/>
        </w:rPr>
        <w:t>Ibid, 18</w:t>
      </w:r>
    </w:p>
  </w:footnote>
  <w:footnote w:id="49">
    <w:p w14:paraId="1D510954" w14:textId="795D8CC5" w:rsidR="00230731" w:rsidRPr="004B5AD9" w:rsidRDefault="00230731">
      <w:pPr>
        <w:pStyle w:val="FootnoteText"/>
        <w:rPr>
          <w:lang w:val="en-US"/>
        </w:rPr>
      </w:pPr>
      <w:r>
        <w:rPr>
          <w:rStyle w:val="FootnoteReference"/>
        </w:rPr>
        <w:footnoteRef/>
      </w:r>
      <w:r>
        <w:t xml:space="preserve"> </w:t>
      </w:r>
      <w:r>
        <w:rPr>
          <w:lang w:val="en-US"/>
        </w:rPr>
        <w:t>Ibid, 13 – paraphrase “The purchaser has the best understanding of their own business to decide the cover”.</w:t>
      </w:r>
    </w:p>
  </w:footnote>
  <w:footnote w:id="50">
    <w:p w14:paraId="2A9666C9" w14:textId="50E003C5" w:rsidR="00230731" w:rsidRPr="00695F2A" w:rsidRDefault="00230731">
      <w:pPr>
        <w:pStyle w:val="FootnoteText"/>
        <w:rPr>
          <w:lang w:val="en-US"/>
        </w:rPr>
      </w:pPr>
      <w:r>
        <w:rPr>
          <w:rStyle w:val="FootnoteReference"/>
        </w:rPr>
        <w:footnoteRef/>
      </w:r>
      <w:r>
        <w:t xml:space="preserve"> </w:t>
      </w:r>
      <w:r>
        <w:rPr>
          <w:lang w:val="en-US"/>
        </w:rPr>
        <w:t>Ibid 8</w:t>
      </w:r>
    </w:p>
  </w:footnote>
  <w:footnote w:id="51">
    <w:p w14:paraId="4AE16BED" w14:textId="13A56921" w:rsidR="00230731" w:rsidRPr="00E26115" w:rsidRDefault="00230731">
      <w:pPr>
        <w:pStyle w:val="FootnoteText"/>
      </w:pPr>
      <w:r>
        <w:rPr>
          <w:rStyle w:val="FootnoteReference"/>
        </w:rPr>
        <w:footnoteRef/>
      </w:r>
      <w:r>
        <w:t xml:space="preserve"> At page 37, paragraph 4 of “Insurance of Profits’ by A.G. Macken and G.J.R. Hickmott.</w:t>
      </w:r>
    </w:p>
  </w:footnote>
  <w:footnote w:id="52">
    <w:p w14:paraId="00806318" w14:textId="49F36E4B" w:rsidR="00230731" w:rsidRPr="00C67D77" w:rsidRDefault="00230731">
      <w:pPr>
        <w:pStyle w:val="FootnoteText"/>
        <w:rPr>
          <w:lang w:val="en-US"/>
        </w:rPr>
      </w:pPr>
      <w:r>
        <w:rPr>
          <w:rStyle w:val="FootnoteReference"/>
        </w:rPr>
        <w:footnoteRef/>
      </w:r>
      <w:r>
        <w:t xml:space="preserve"> </w:t>
      </w:r>
      <w:r>
        <w:rPr>
          <w:lang w:val="en-US"/>
        </w:rPr>
        <w:t>Revised Fire Tariff, Section 3, Rule 9.1, at page 3-25</w:t>
      </w:r>
    </w:p>
  </w:footnote>
  <w:footnote w:id="53">
    <w:p w14:paraId="17C7625E" w14:textId="077FFDDA" w:rsidR="00230731" w:rsidRPr="00E319EA" w:rsidRDefault="00230731">
      <w:pPr>
        <w:pStyle w:val="FootnoteText"/>
        <w:rPr>
          <w:lang w:val="en-US"/>
        </w:rPr>
      </w:pPr>
      <w:r>
        <w:rPr>
          <w:rStyle w:val="FootnoteReference"/>
        </w:rPr>
        <w:footnoteRef/>
      </w:r>
      <w:r>
        <w:t xml:space="preserve"> </w:t>
      </w:r>
      <w:r>
        <w:rPr>
          <w:lang w:val="en-US"/>
        </w:rPr>
        <w:t>Ibid 7</w:t>
      </w:r>
    </w:p>
  </w:footnote>
  <w:footnote w:id="54">
    <w:p w14:paraId="6013EB3F" w14:textId="22794293" w:rsidR="00230731" w:rsidRPr="00C66A64" w:rsidRDefault="00230731">
      <w:pPr>
        <w:pStyle w:val="FootnoteText"/>
        <w:rPr>
          <w:lang w:val="en-US"/>
        </w:rPr>
      </w:pPr>
      <w:r>
        <w:rPr>
          <w:rStyle w:val="FootnoteReference"/>
        </w:rPr>
        <w:footnoteRef/>
      </w:r>
      <w:r>
        <w:t xml:space="preserve"> </w:t>
      </w:r>
      <w:r>
        <w:rPr>
          <w:lang w:val="en-US"/>
        </w:rPr>
        <w:t>Ibid 11</w:t>
      </w:r>
    </w:p>
  </w:footnote>
  <w:footnote w:id="55">
    <w:p w14:paraId="2983CA45" w14:textId="049D4CE2" w:rsidR="00230731" w:rsidRPr="00CE37C1" w:rsidRDefault="00230731">
      <w:pPr>
        <w:pStyle w:val="FootnoteText"/>
        <w:rPr>
          <w:lang w:val="en-US"/>
        </w:rPr>
      </w:pPr>
      <w:r>
        <w:rPr>
          <w:rStyle w:val="FootnoteReference"/>
        </w:rPr>
        <w:footnoteRef/>
      </w:r>
      <w:r>
        <w:t xml:space="preserve"> </w:t>
      </w:r>
      <w:r>
        <w:rPr>
          <w:lang w:val="en-US"/>
        </w:rPr>
        <w:t>Ibid 8</w:t>
      </w:r>
    </w:p>
  </w:footnote>
  <w:footnote w:id="56">
    <w:p w14:paraId="5A9A8824" w14:textId="094A9FBC" w:rsidR="00230731" w:rsidRPr="00CE37C1" w:rsidRDefault="00230731">
      <w:pPr>
        <w:pStyle w:val="FootnoteText"/>
        <w:rPr>
          <w:lang w:val="en-US"/>
        </w:rPr>
      </w:pPr>
      <w:r>
        <w:rPr>
          <w:rStyle w:val="FootnoteReference"/>
        </w:rPr>
        <w:footnoteRef/>
      </w:r>
      <w:r>
        <w:t xml:space="preserve"> </w:t>
      </w:r>
      <w:r>
        <w:rPr>
          <w:lang w:val="en-US"/>
        </w:rPr>
        <w:t>Ibid 9</w:t>
      </w:r>
    </w:p>
  </w:footnote>
  <w:footnote w:id="57">
    <w:p w14:paraId="0C91961C" w14:textId="1A1258FB" w:rsidR="00230731" w:rsidRPr="0099530D" w:rsidRDefault="00230731">
      <w:pPr>
        <w:pStyle w:val="FootnoteText"/>
        <w:rPr>
          <w:lang w:val="en-US"/>
        </w:rPr>
      </w:pPr>
      <w:r>
        <w:rPr>
          <w:rStyle w:val="FootnoteReference"/>
        </w:rPr>
        <w:footnoteRef/>
      </w:r>
      <w:r>
        <w:t xml:space="preserve"> </w:t>
      </w:r>
      <w:r>
        <w:rPr>
          <w:lang w:val="en-US"/>
        </w:rPr>
        <w:t>Gross Revenue, Fees, Income, Commission and Receipts are synonymous.</w:t>
      </w:r>
    </w:p>
  </w:footnote>
  <w:footnote w:id="58">
    <w:p w14:paraId="24B4CA52" w14:textId="670E1C7D" w:rsidR="00230731" w:rsidRPr="00210F68" w:rsidRDefault="00230731">
      <w:pPr>
        <w:pStyle w:val="FootnoteText"/>
        <w:rPr>
          <w:lang w:val="en-US"/>
        </w:rPr>
      </w:pPr>
      <w:r>
        <w:rPr>
          <w:rStyle w:val="FootnoteReference"/>
        </w:rPr>
        <w:footnoteRef/>
      </w:r>
      <w:r>
        <w:t xml:space="preserve"> </w:t>
      </w:r>
      <w:r>
        <w:rPr>
          <w:lang w:val="en-US"/>
        </w:rPr>
        <w:t>At para 308, page 256 of Riley.</w:t>
      </w:r>
    </w:p>
  </w:footnote>
  <w:footnote w:id="59">
    <w:p w14:paraId="08D2182D" w14:textId="53C90996" w:rsidR="00230731" w:rsidRPr="00E916C3" w:rsidRDefault="00230731">
      <w:pPr>
        <w:pStyle w:val="FootnoteText"/>
        <w:rPr>
          <w:lang w:val="en-US"/>
        </w:rPr>
      </w:pPr>
      <w:r>
        <w:rPr>
          <w:rStyle w:val="FootnoteReference"/>
        </w:rPr>
        <w:footnoteRef/>
      </w:r>
      <w:r>
        <w:t xml:space="preserve"> </w:t>
      </w:r>
      <w:r>
        <w:rPr>
          <w:lang w:val="en-US"/>
        </w:rPr>
        <w:t>Ibid 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8336367"/>
      <w:docPartObj>
        <w:docPartGallery w:val="Page Numbers (Top of Page)"/>
        <w:docPartUnique/>
      </w:docPartObj>
    </w:sdtPr>
    <w:sdtContent>
      <w:p w14:paraId="74B40958" w14:textId="77777777" w:rsidR="00230731" w:rsidRDefault="00230731">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67415A2D" w14:textId="77777777" w:rsidR="00230731" w:rsidRDefault="002307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622349"/>
    <w:multiLevelType w:val="hybridMultilevel"/>
    <w:tmpl w:val="80607FEE"/>
    <w:lvl w:ilvl="0" w:tplc="28025760">
      <w:start w:val="1"/>
      <w:numFmt w:val="decimal"/>
      <w:lvlText w:val="%1)"/>
      <w:lvlJc w:val="left"/>
      <w:pPr>
        <w:ind w:left="1335" w:hanging="360"/>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1" w15:restartNumberingAfterBreak="0">
    <w:nsid w:val="1611307B"/>
    <w:multiLevelType w:val="hybridMultilevel"/>
    <w:tmpl w:val="9FF04E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6D1C60"/>
    <w:multiLevelType w:val="hybridMultilevel"/>
    <w:tmpl w:val="77209788"/>
    <w:lvl w:ilvl="0" w:tplc="542A5746">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C51DEC"/>
    <w:multiLevelType w:val="hybridMultilevel"/>
    <w:tmpl w:val="90B02B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6C3F6F"/>
    <w:multiLevelType w:val="hybridMultilevel"/>
    <w:tmpl w:val="C4023CAA"/>
    <w:lvl w:ilvl="0" w:tplc="41E6642E">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6D4D75"/>
    <w:multiLevelType w:val="hybridMultilevel"/>
    <w:tmpl w:val="FFBEEA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010854">
    <w:abstractNumId w:val="3"/>
  </w:num>
  <w:num w:numId="2" w16cid:durableId="593249497">
    <w:abstractNumId w:val="1"/>
  </w:num>
  <w:num w:numId="3" w16cid:durableId="2047026475">
    <w:abstractNumId w:val="5"/>
  </w:num>
  <w:num w:numId="4" w16cid:durableId="2073195158">
    <w:abstractNumId w:val="4"/>
  </w:num>
  <w:num w:numId="5" w16cid:durableId="534732880">
    <w:abstractNumId w:val="2"/>
  </w:num>
  <w:num w:numId="6" w16cid:durableId="152185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947"/>
    <w:rsid w:val="000048AB"/>
    <w:rsid w:val="0001002D"/>
    <w:rsid w:val="0001269A"/>
    <w:rsid w:val="0001525C"/>
    <w:rsid w:val="00016751"/>
    <w:rsid w:val="00027453"/>
    <w:rsid w:val="000326C0"/>
    <w:rsid w:val="00034E7A"/>
    <w:rsid w:val="00035B45"/>
    <w:rsid w:val="00036227"/>
    <w:rsid w:val="0004094C"/>
    <w:rsid w:val="000437F0"/>
    <w:rsid w:val="000473F9"/>
    <w:rsid w:val="00056A10"/>
    <w:rsid w:val="00060613"/>
    <w:rsid w:val="000656DD"/>
    <w:rsid w:val="000664BC"/>
    <w:rsid w:val="00076169"/>
    <w:rsid w:val="00081327"/>
    <w:rsid w:val="000859B3"/>
    <w:rsid w:val="00087F18"/>
    <w:rsid w:val="00090492"/>
    <w:rsid w:val="00093026"/>
    <w:rsid w:val="000943ED"/>
    <w:rsid w:val="0009513A"/>
    <w:rsid w:val="00097825"/>
    <w:rsid w:val="000A26E9"/>
    <w:rsid w:val="000A5D2A"/>
    <w:rsid w:val="000B5412"/>
    <w:rsid w:val="000C0C82"/>
    <w:rsid w:val="000C155D"/>
    <w:rsid w:val="000C5E79"/>
    <w:rsid w:val="000C689D"/>
    <w:rsid w:val="000C75E0"/>
    <w:rsid w:val="000D223C"/>
    <w:rsid w:val="000D51B8"/>
    <w:rsid w:val="000E1165"/>
    <w:rsid w:val="000E345B"/>
    <w:rsid w:val="000F0139"/>
    <w:rsid w:val="000F75D0"/>
    <w:rsid w:val="00110CB4"/>
    <w:rsid w:val="00111091"/>
    <w:rsid w:val="00116D46"/>
    <w:rsid w:val="00120874"/>
    <w:rsid w:val="001218BB"/>
    <w:rsid w:val="00127FBC"/>
    <w:rsid w:val="001458D1"/>
    <w:rsid w:val="0014628B"/>
    <w:rsid w:val="001554CA"/>
    <w:rsid w:val="00160D8F"/>
    <w:rsid w:val="001611F6"/>
    <w:rsid w:val="00161BFE"/>
    <w:rsid w:val="00162154"/>
    <w:rsid w:val="00183AEE"/>
    <w:rsid w:val="00187FE8"/>
    <w:rsid w:val="001930B4"/>
    <w:rsid w:val="001A2539"/>
    <w:rsid w:val="001B42C1"/>
    <w:rsid w:val="001C110B"/>
    <w:rsid w:val="001C58D9"/>
    <w:rsid w:val="001C67AE"/>
    <w:rsid w:val="001D1908"/>
    <w:rsid w:val="001D4DAB"/>
    <w:rsid w:val="001D587E"/>
    <w:rsid w:val="001D6BA8"/>
    <w:rsid w:val="001D6CE9"/>
    <w:rsid w:val="001D763C"/>
    <w:rsid w:val="001E6CA4"/>
    <w:rsid w:val="001E7841"/>
    <w:rsid w:val="001E7E5D"/>
    <w:rsid w:val="0020105E"/>
    <w:rsid w:val="00201E21"/>
    <w:rsid w:val="00203B1D"/>
    <w:rsid w:val="00210F68"/>
    <w:rsid w:val="00211C3E"/>
    <w:rsid w:val="00220768"/>
    <w:rsid w:val="00223053"/>
    <w:rsid w:val="00230731"/>
    <w:rsid w:val="00232075"/>
    <w:rsid w:val="00232550"/>
    <w:rsid w:val="00235BF0"/>
    <w:rsid w:val="00241812"/>
    <w:rsid w:val="0024338D"/>
    <w:rsid w:val="00244E15"/>
    <w:rsid w:val="0025301B"/>
    <w:rsid w:val="00256EB3"/>
    <w:rsid w:val="00260F11"/>
    <w:rsid w:val="00261464"/>
    <w:rsid w:val="0026320D"/>
    <w:rsid w:val="00264AFE"/>
    <w:rsid w:val="0026524B"/>
    <w:rsid w:val="00265DD2"/>
    <w:rsid w:val="002723C5"/>
    <w:rsid w:val="0027295E"/>
    <w:rsid w:val="00276AA7"/>
    <w:rsid w:val="00282858"/>
    <w:rsid w:val="00286FA7"/>
    <w:rsid w:val="002A024E"/>
    <w:rsid w:val="002A1336"/>
    <w:rsid w:val="002A3059"/>
    <w:rsid w:val="002A761C"/>
    <w:rsid w:val="002B0914"/>
    <w:rsid w:val="002B0DA8"/>
    <w:rsid w:val="002C015F"/>
    <w:rsid w:val="002C0797"/>
    <w:rsid w:val="002C5ED6"/>
    <w:rsid w:val="002C76C7"/>
    <w:rsid w:val="002D6B08"/>
    <w:rsid w:val="002E00D3"/>
    <w:rsid w:val="002E51B3"/>
    <w:rsid w:val="002E5C87"/>
    <w:rsid w:val="002E5D62"/>
    <w:rsid w:val="00300727"/>
    <w:rsid w:val="003026DD"/>
    <w:rsid w:val="003101D8"/>
    <w:rsid w:val="00320620"/>
    <w:rsid w:val="00321017"/>
    <w:rsid w:val="00321BB0"/>
    <w:rsid w:val="00333141"/>
    <w:rsid w:val="003419B2"/>
    <w:rsid w:val="00341A24"/>
    <w:rsid w:val="00342FFA"/>
    <w:rsid w:val="00346824"/>
    <w:rsid w:val="003550D2"/>
    <w:rsid w:val="0035561D"/>
    <w:rsid w:val="003624A2"/>
    <w:rsid w:val="003629C0"/>
    <w:rsid w:val="00367CB3"/>
    <w:rsid w:val="00374967"/>
    <w:rsid w:val="003817A5"/>
    <w:rsid w:val="0038199F"/>
    <w:rsid w:val="00384CA4"/>
    <w:rsid w:val="003906DA"/>
    <w:rsid w:val="003910E5"/>
    <w:rsid w:val="00391763"/>
    <w:rsid w:val="00394E46"/>
    <w:rsid w:val="003A0322"/>
    <w:rsid w:val="003A7091"/>
    <w:rsid w:val="003C132B"/>
    <w:rsid w:val="003C3C06"/>
    <w:rsid w:val="003C6EF4"/>
    <w:rsid w:val="003C75AA"/>
    <w:rsid w:val="003D068F"/>
    <w:rsid w:val="003D352E"/>
    <w:rsid w:val="003D46BA"/>
    <w:rsid w:val="003D7B59"/>
    <w:rsid w:val="003E1CDC"/>
    <w:rsid w:val="003E23F1"/>
    <w:rsid w:val="003E36F2"/>
    <w:rsid w:val="003E5025"/>
    <w:rsid w:val="003E768A"/>
    <w:rsid w:val="003F62CC"/>
    <w:rsid w:val="003F6799"/>
    <w:rsid w:val="003F79CF"/>
    <w:rsid w:val="00400D63"/>
    <w:rsid w:val="00404913"/>
    <w:rsid w:val="0040670B"/>
    <w:rsid w:val="00407779"/>
    <w:rsid w:val="00410427"/>
    <w:rsid w:val="00410512"/>
    <w:rsid w:val="0041225E"/>
    <w:rsid w:val="004205DD"/>
    <w:rsid w:val="00422A90"/>
    <w:rsid w:val="004240A3"/>
    <w:rsid w:val="00425CCA"/>
    <w:rsid w:val="00432C8C"/>
    <w:rsid w:val="00433537"/>
    <w:rsid w:val="00435E4B"/>
    <w:rsid w:val="00446F59"/>
    <w:rsid w:val="0044717A"/>
    <w:rsid w:val="00447909"/>
    <w:rsid w:val="00456292"/>
    <w:rsid w:val="00472A15"/>
    <w:rsid w:val="004749C5"/>
    <w:rsid w:val="00476C57"/>
    <w:rsid w:val="00490AD5"/>
    <w:rsid w:val="004910C6"/>
    <w:rsid w:val="004916A5"/>
    <w:rsid w:val="004A1745"/>
    <w:rsid w:val="004A6CD1"/>
    <w:rsid w:val="004A72F4"/>
    <w:rsid w:val="004A78F9"/>
    <w:rsid w:val="004B07AB"/>
    <w:rsid w:val="004B11F1"/>
    <w:rsid w:val="004B3907"/>
    <w:rsid w:val="004B472D"/>
    <w:rsid w:val="004B49BD"/>
    <w:rsid w:val="004B5AD9"/>
    <w:rsid w:val="004B74C6"/>
    <w:rsid w:val="004C0321"/>
    <w:rsid w:val="004C1284"/>
    <w:rsid w:val="004C36ED"/>
    <w:rsid w:val="004C7185"/>
    <w:rsid w:val="004E1D5C"/>
    <w:rsid w:val="004E7228"/>
    <w:rsid w:val="004F6204"/>
    <w:rsid w:val="004F6B06"/>
    <w:rsid w:val="004F7FDD"/>
    <w:rsid w:val="0050197E"/>
    <w:rsid w:val="005036AA"/>
    <w:rsid w:val="00504701"/>
    <w:rsid w:val="00506597"/>
    <w:rsid w:val="00506940"/>
    <w:rsid w:val="00510385"/>
    <w:rsid w:val="00511F5E"/>
    <w:rsid w:val="0051230B"/>
    <w:rsid w:val="00521F14"/>
    <w:rsid w:val="00530A5B"/>
    <w:rsid w:val="00531D63"/>
    <w:rsid w:val="00531DF1"/>
    <w:rsid w:val="00531F7D"/>
    <w:rsid w:val="00532BBB"/>
    <w:rsid w:val="00537610"/>
    <w:rsid w:val="005452F7"/>
    <w:rsid w:val="00547210"/>
    <w:rsid w:val="005472EB"/>
    <w:rsid w:val="00564078"/>
    <w:rsid w:val="00572524"/>
    <w:rsid w:val="00572A9F"/>
    <w:rsid w:val="00573A0F"/>
    <w:rsid w:val="00590AF4"/>
    <w:rsid w:val="005938C7"/>
    <w:rsid w:val="00595A24"/>
    <w:rsid w:val="005A3850"/>
    <w:rsid w:val="005A6659"/>
    <w:rsid w:val="005A7580"/>
    <w:rsid w:val="005B4FBA"/>
    <w:rsid w:val="005B6092"/>
    <w:rsid w:val="005B78D0"/>
    <w:rsid w:val="005C0C08"/>
    <w:rsid w:val="005C2E32"/>
    <w:rsid w:val="005D0F5E"/>
    <w:rsid w:val="005D4B9A"/>
    <w:rsid w:val="005D5C9A"/>
    <w:rsid w:val="005D6426"/>
    <w:rsid w:val="005D7D35"/>
    <w:rsid w:val="005E118E"/>
    <w:rsid w:val="005E311B"/>
    <w:rsid w:val="005E3132"/>
    <w:rsid w:val="005E43BE"/>
    <w:rsid w:val="005F3B4E"/>
    <w:rsid w:val="00614C6C"/>
    <w:rsid w:val="006221CA"/>
    <w:rsid w:val="00623211"/>
    <w:rsid w:val="006234F7"/>
    <w:rsid w:val="00626505"/>
    <w:rsid w:val="00627C89"/>
    <w:rsid w:val="0063381E"/>
    <w:rsid w:val="00643CF7"/>
    <w:rsid w:val="00663F6F"/>
    <w:rsid w:val="00665595"/>
    <w:rsid w:val="00666C3D"/>
    <w:rsid w:val="0067596F"/>
    <w:rsid w:val="00681859"/>
    <w:rsid w:val="00681EB3"/>
    <w:rsid w:val="00683242"/>
    <w:rsid w:val="00695F2A"/>
    <w:rsid w:val="00697E2F"/>
    <w:rsid w:val="006A0418"/>
    <w:rsid w:val="006A0B3B"/>
    <w:rsid w:val="006A1E7F"/>
    <w:rsid w:val="006A45B9"/>
    <w:rsid w:val="006A501E"/>
    <w:rsid w:val="006B2318"/>
    <w:rsid w:val="006B395E"/>
    <w:rsid w:val="006B4C60"/>
    <w:rsid w:val="006C38BE"/>
    <w:rsid w:val="006D47D4"/>
    <w:rsid w:val="006E62D4"/>
    <w:rsid w:val="006E7A58"/>
    <w:rsid w:val="006F28D4"/>
    <w:rsid w:val="006F4E18"/>
    <w:rsid w:val="006F6E92"/>
    <w:rsid w:val="0070144A"/>
    <w:rsid w:val="00702591"/>
    <w:rsid w:val="0070382E"/>
    <w:rsid w:val="00711183"/>
    <w:rsid w:val="007133A8"/>
    <w:rsid w:val="00713C9D"/>
    <w:rsid w:val="00714067"/>
    <w:rsid w:val="0072204E"/>
    <w:rsid w:val="007279FB"/>
    <w:rsid w:val="0073004E"/>
    <w:rsid w:val="007317C7"/>
    <w:rsid w:val="0074042D"/>
    <w:rsid w:val="00746702"/>
    <w:rsid w:val="00747178"/>
    <w:rsid w:val="007524F7"/>
    <w:rsid w:val="00754EBD"/>
    <w:rsid w:val="0075517D"/>
    <w:rsid w:val="007568C1"/>
    <w:rsid w:val="007576C0"/>
    <w:rsid w:val="00763D70"/>
    <w:rsid w:val="0076611B"/>
    <w:rsid w:val="00772DF9"/>
    <w:rsid w:val="00773D27"/>
    <w:rsid w:val="00776DFD"/>
    <w:rsid w:val="0078716B"/>
    <w:rsid w:val="00790811"/>
    <w:rsid w:val="00791CC9"/>
    <w:rsid w:val="0079444D"/>
    <w:rsid w:val="00794458"/>
    <w:rsid w:val="00797B0D"/>
    <w:rsid w:val="007A083A"/>
    <w:rsid w:val="007A1181"/>
    <w:rsid w:val="007A2A03"/>
    <w:rsid w:val="007B2604"/>
    <w:rsid w:val="007C02AE"/>
    <w:rsid w:val="007C3B79"/>
    <w:rsid w:val="007C631F"/>
    <w:rsid w:val="007D53A4"/>
    <w:rsid w:val="007D65C6"/>
    <w:rsid w:val="007E1F86"/>
    <w:rsid w:val="007E24E8"/>
    <w:rsid w:val="007F1E2E"/>
    <w:rsid w:val="007F2823"/>
    <w:rsid w:val="007F7015"/>
    <w:rsid w:val="008022E3"/>
    <w:rsid w:val="008072C2"/>
    <w:rsid w:val="00810626"/>
    <w:rsid w:val="00814336"/>
    <w:rsid w:val="00815F45"/>
    <w:rsid w:val="00820673"/>
    <w:rsid w:val="00820712"/>
    <w:rsid w:val="00826FB0"/>
    <w:rsid w:val="00832766"/>
    <w:rsid w:val="00834995"/>
    <w:rsid w:val="008349AA"/>
    <w:rsid w:val="00837E32"/>
    <w:rsid w:val="00842E5E"/>
    <w:rsid w:val="008446E3"/>
    <w:rsid w:val="0084558C"/>
    <w:rsid w:val="00862947"/>
    <w:rsid w:val="008641FA"/>
    <w:rsid w:val="00875CB8"/>
    <w:rsid w:val="00880B60"/>
    <w:rsid w:val="00881987"/>
    <w:rsid w:val="00891DCD"/>
    <w:rsid w:val="00892071"/>
    <w:rsid w:val="008958F8"/>
    <w:rsid w:val="008A05B9"/>
    <w:rsid w:val="008A5DE0"/>
    <w:rsid w:val="008A7A7E"/>
    <w:rsid w:val="008B0426"/>
    <w:rsid w:val="008B1F13"/>
    <w:rsid w:val="008B224F"/>
    <w:rsid w:val="008C0F48"/>
    <w:rsid w:val="008C2583"/>
    <w:rsid w:val="008C2ABC"/>
    <w:rsid w:val="008D37DA"/>
    <w:rsid w:val="008D4DF2"/>
    <w:rsid w:val="008D5506"/>
    <w:rsid w:val="008D6B9E"/>
    <w:rsid w:val="008D75F8"/>
    <w:rsid w:val="008E1780"/>
    <w:rsid w:val="008F0660"/>
    <w:rsid w:val="008F2564"/>
    <w:rsid w:val="008F36D6"/>
    <w:rsid w:val="008F4A6F"/>
    <w:rsid w:val="008F60FF"/>
    <w:rsid w:val="008F681F"/>
    <w:rsid w:val="008F7800"/>
    <w:rsid w:val="00902478"/>
    <w:rsid w:val="00916057"/>
    <w:rsid w:val="009177AA"/>
    <w:rsid w:val="00925533"/>
    <w:rsid w:val="00931FCB"/>
    <w:rsid w:val="00936F87"/>
    <w:rsid w:val="00937CBA"/>
    <w:rsid w:val="00944B5F"/>
    <w:rsid w:val="009544DD"/>
    <w:rsid w:val="00955370"/>
    <w:rsid w:val="009567EB"/>
    <w:rsid w:val="00962393"/>
    <w:rsid w:val="00970EEB"/>
    <w:rsid w:val="00974230"/>
    <w:rsid w:val="00975CA7"/>
    <w:rsid w:val="00982BDE"/>
    <w:rsid w:val="00982C67"/>
    <w:rsid w:val="00982DC2"/>
    <w:rsid w:val="00984E66"/>
    <w:rsid w:val="00985EE5"/>
    <w:rsid w:val="0099530D"/>
    <w:rsid w:val="009A3730"/>
    <w:rsid w:val="009B0638"/>
    <w:rsid w:val="009B0886"/>
    <w:rsid w:val="009B3CC4"/>
    <w:rsid w:val="009D2A3B"/>
    <w:rsid w:val="009D402C"/>
    <w:rsid w:val="009D589B"/>
    <w:rsid w:val="009F1CB7"/>
    <w:rsid w:val="009F450C"/>
    <w:rsid w:val="009F63F8"/>
    <w:rsid w:val="00A061C3"/>
    <w:rsid w:val="00A101CC"/>
    <w:rsid w:val="00A103D3"/>
    <w:rsid w:val="00A11435"/>
    <w:rsid w:val="00A11A52"/>
    <w:rsid w:val="00A12095"/>
    <w:rsid w:val="00A14E13"/>
    <w:rsid w:val="00A16B7C"/>
    <w:rsid w:val="00A20207"/>
    <w:rsid w:val="00A23D52"/>
    <w:rsid w:val="00A254BF"/>
    <w:rsid w:val="00A27AF6"/>
    <w:rsid w:val="00A31511"/>
    <w:rsid w:val="00A34FE9"/>
    <w:rsid w:val="00A37CD0"/>
    <w:rsid w:val="00A40163"/>
    <w:rsid w:val="00A40910"/>
    <w:rsid w:val="00A4213A"/>
    <w:rsid w:val="00A45196"/>
    <w:rsid w:val="00A45968"/>
    <w:rsid w:val="00A60475"/>
    <w:rsid w:val="00A62083"/>
    <w:rsid w:val="00A65A58"/>
    <w:rsid w:val="00A67CC4"/>
    <w:rsid w:val="00A70198"/>
    <w:rsid w:val="00A71B83"/>
    <w:rsid w:val="00A7279F"/>
    <w:rsid w:val="00A73E34"/>
    <w:rsid w:val="00A758BB"/>
    <w:rsid w:val="00A92949"/>
    <w:rsid w:val="00A92A59"/>
    <w:rsid w:val="00AA0000"/>
    <w:rsid w:val="00AA2617"/>
    <w:rsid w:val="00AA6319"/>
    <w:rsid w:val="00AA66C1"/>
    <w:rsid w:val="00AA7394"/>
    <w:rsid w:val="00AB23AB"/>
    <w:rsid w:val="00AB47F5"/>
    <w:rsid w:val="00AB661E"/>
    <w:rsid w:val="00AC0D7D"/>
    <w:rsid w:val="00AC11D1"/>
    <w:rsid w:val="00AC1A82"/>
    <w:rsid w:val="00AC2A6A"/>
    <w:rsid w:val="00AC70A5"/>
    <w:rsid w:val="00AD3616"/>
    <w:rsid w:val="00AE126C"/>
    <w:rsid w:val="00AE2560"/>
    <w:rsid w:val="00AE4F26"/>
    <w:rsid w:val="00AE5F4E"/>
    <w:rsid w:val="00AF6F7A"/>
    <w:rsid w:val="00AF7DFB"/>
    <w:rsid w:val="00B02FBF"/>
    <w:rsid w:val="00B07D72"/>
    <w:rsid w:val="00B11474"/>
    <w:rsid w:val="00B13017"/>
    <w:rsid w:val="00B139FE"/>
    <w:rsid w:val="00B14F12"/>
    <w:rsid w:val="00B1575D"/>
    <w:rsid w:val="00B161F1"/>
    <w:rsid w:val="00B167E8"/>
    <w:rsid w:val="00B210A4"/>
    <w:rsid w:val="00B21A10"/>
    <w:rsid w:val="00B27DA4"/>
    <w:rsid w:val="00B33E86"/>
    <w:rsid w:val="00B54B51"/>
    <w:rsid w:val="00B600A0"/>
    <w:rsid w:val="00B61B64"/>
    <w:rsid w:val="00B67E45"/>
    <w:rsid w:val="00B76BF4"/>
    <w:rsid w:val="00B77B26"/>
    <w:rsid w:val="00B847BA"/>
    <w:rsid w:val="00B938A8"/>
    <w:rsid w:val="00BA2C0B"/>
    <w:rsid w:val="00BA2EF8"/>
    <w:rsid w:val="00BA3196"/>
    <w:rsid w:val="00BA42D2"/>
    <w:rsid w:val="00BA4BFA"/>
    <w:rsid w:val="00BA5619"/>
    <w:rsid w:val="00BB0F3B"/>
    <w:rsid w:val="00BB12A0"/>
    <w:rsid w:val="00BB5AF4"/>
    <w:rsid w:val="00BC0D59"/>
    <w:rsid w:val="00BC1DEB"/>
    <w:rsid w:val="00BC66E6"/>
    <w:rsid w:val="00BD3283"/>
    <w:rsid w:val="00BD3FF7"/>
    <w:rsid w:val="00BD720A"/>
    <w:rsid w:val="00BD73FB"/>
    <w:rsid w:val="00BD7FD3"/>
    <w:rsid w:val="00BE3116"/>
    <w:rsid w:val="00BE7AB5"/>
    <w:rsid w:val="00BF4D60"/>
    <w:rsid w:val="00BF66FC"/>
    <w:rsid w:val="00C01B97"/>
    <w:rsid w:val="00C01F5A"/>
    <w:rsid w:val="00C02475"/>
    <w:rsid w:val="00C05BD1"/>
    <w:rsid w:val="00C062C5"/>
    <w:rsid w:val="00C11F8F"/>
    <w:rsid w:val="00C17AAD"/>
    <w:rsid w:val="00C223C3"/>
    <w:rsid w:val="00C24BBA"/>
    <w:rsid w:val="00C263A2"/>
    <w:rsid w:val="00C27032"/>
    <w:rsid w:val="00C27D2A"/>
    <w:rsid w:val="00C3025E"/>
    <w:rsid w:val="00C30CBD"/>
    <w:rsid w:val="00C3140F"/>
    <w:rsid w:val="00C320C6"/>
    <w:rsid w:val="00C368AE"/>
    <w:rsid w:val="00C40C30"/>
    <w:rsid w:val="00C46AC5"/>
    <w:rsid w:val="00C5072D"/>
    <w:rsid w:val="00C50D89"/>
    <w:rsid w:val="00C520EA"/>
    <w:rsid w:val="00C546FF"/>
    <w:rsid w:val="00C62696"/>
    <w:rsid w:val="00C669B7"/>
    <w:rsid w:val="00C66A64"/>
    <w:rsid w:val="00C67D77"/>
    <w:rsid w:val="00C7226C"/>
    <w:rsid w:val="00C73C81"/>
    <w:rsid w:val="00C7731B"/>
    <w:rsid w:val="00C7739F"/>
    <w:rsid w:val="00C7775A"/>
    <w:rsid w:val="00C80068"/>
    <w:rsid w:val="00C87A1E"/>
    <w:rsid w:val="00C87CA5"/>
    <w:rsid w:val="00C9342E"/>
    <w:rsid w:val="00C97521"/>
    <w:rsid w:val="00CA241B"/>
    <w:rsid w:val="00CA5F05"/>
    <w:rsid w:val="00CB0380"/>
    <w:rsid w:val="00CB2121"/>
    <w:rsid w:val="00CB4939"/>
    <w:rsid w:val="00CB6565"/>
    <w:rsid w:val="00CB7160"/>
    <w:rsid w:val="00CC3270"/>
    <w:rsid w:val="00CC5DB4"/>
    <w:rsid w:val="00CC6450"/>
    <w:rsid w:val="00CC7ABC"/>
    <w:rsid w:val="00CD1160"/>
    <w:rsid w:val="00CD1C64"/>
    <w:rsid w:val="00CD3764"/>
    <w:rsid w:val="00CD43C2"/>
    <w:rsid w:val="00CE1AAB"/>
    <w:rsid w:val="00CE265F"/>
    <w:rsid w:val="00CE2FB7"/>
    <w:rsid w:val="00CE37C1"/>
    <w:rsid w:val="00CE62BC"/>
    <w:rsid w:val="00CF2912"/>
    <w:rsid w:val="00CF788B"/>
    <w:rsid w:val="00D0035C"/>
    <w:rsid w:val="00D00EE1"/>
    <w:rsid w:val="00D016F3"/>
    <w:rsid w:val="00D05D1F"/>
    <w:rsid w:val="00D17FC2"/>
    <w:rsid w:val="00D21FF6"/>
    <w:rsid w:val="00D263D8"/>
    <w:rsid w:val="00D36138"/>
    <w:rsid w:val="00D36F1C"/>
    <w:rsid w:val="00D52194"/>
    <w:rsid w:val="00D52E38"/>
    <w:rsid w:val="00D5484F"/>
    <w:rsid w:val="00D55974"/>
    <w:rsid w:val="00D579DD"/>
    <w:rsid w:val="00D60DE6"/>
    <w:rsid w:val="00D61C4B"/>
    <w:rsid w:val="00D62066"/>
    <w:rsid w:val="00D62F9E"/>
    <w:rsid w:val="00D64428"/>
    <w:rsid w:val="00D6713E"/>
    <w:rsid w:val="00D73572"/>
    <w:rsid w:val="00D769CF"/>
    <w:rsid w:val="00D87687"/>
    <w:rsid w:val="00D87750"/>
    <w:rsid w:val="00D91070"/>
    <w:rsid w:val="00DA4834"/>
    <w:rsid w:val="00DB11DE"/>
    <w:rsid w:val="00DB686D"/>
    <w:rsid w:val="00DC4EC4"/>
    <w:rsid w:val="00DD19BD"/>
    <w:rsid w:val="00DD4234"/>
    <w:rsid w:val="00DD58AF"/>
    <w:rsid w:val="00DE18A7"/>
    <w:rsid w:val="00DE2DC0"/>
    <w:rsid w:val="00DE2E60"/>
    <w:rsid w:val="00DE3C08"/>
    <w:rsid w:val="00DE4BA1"/>
    <w:rsid w:val="00DF1BFB"/>
    <w:rsid w:val="00DF69D4"/>
    <w:rsid w:val="00E00B3E"/>
    <w:rsid w:val="00E05602"/>
    <w:rsid w:val="00E07CCB"/>
    <w:rsid w:val="00E10731"/>
    <w:rsid w:val="00E13800"/>
    <w:rsid w:val="00E154E0"/>
    <w:rsid w:val="00E22C43"/>
    <w:rsid w:val="00E22F3D"/>
    <w:rsid w:val="00E2585A"/>
    <w:rsid w:val="00E26115"/>
    <w:rsid w:val="00E319EA"/>
    <w:rsid w:val="00E337AB"/>
    <w:rsid w:val="00E33DAB"/>
    <w:rsid w:val="00E4250D"/>
    <w:rsid w:val="00E502B7"/>
    <w:rsid w:val="00E5038C"/>
    <w:rsid w:val="00E50832"/>
    <w:rsid w:val="00E5337B"/>
    <w:rsid w:val="00E61376"/>
    <w:rsid w:val="00E63868"/>
    <w:rsid w:val="00E70F9F"/>
    <w:rsid w:val="00E70FC2"/>
    <w:rsid w:val="00E71918"/>
    <w:rsid w:val="00E75A98"/>
    <w:rsid w:val="00E75D12"/>
    <w:rsid w:val="00E80050"/>
    <w:rsid w:val="00E916C3"/>
    <w:rsid w:val="00E9187F"/>
    <w:rsid w:val="00E93E9E"/>
    <w:rsid w:val="00E940ED"/>
    <w:rsid w:val="00E94FF0"/>
    <w:rsid w:val="00EA6D3A"/>
    <w:rsid w:val="00EB179E"/>
    <w:rsid w:val="00EB321A"/>
    <w:rsid w:val="00EB4AC0"/>
    <w:rsid w:val="00EB4C7B"/>
    <w:rsid w:val="00EB5309"/>
    <w:rsid w:val="00EC1626"/>
    <w:rsid w:val="00EC77E3"/>
    <w:rsid w:val="00EC78BB"/>
    <w:rsid w:val="00ED4FDD"/>
    <w:rsid w:val="00ED5DFF"/>
    <w:rsid w:val="00EE5525"/>
    <w:rsid w:val="00EF5B62"/>
    <w:rsid w:val="00F01D3D"/>
    <w:rsid w:val="00F11A4C"/>
    <w:rsid w:val="00F2381C"/>
    <w:rsid w:val="00F24761"/>
    <w:rsid w:val="00F34FF8"/>
    <w:rsid w:val="00F353F5"/>
    <w:rsid w:val="00F422C1"/>
    <w:rsid w:val="00F427A7"/>
    <w:rsid w:val="00F5109F"/>
    <w:rsid w:val="00F5514E"/>
    <w:rsid w:val="00F56DDB"/>
    <w:rsid w:val="00F65ED2"/>
    <w:rsid w:val="00F67A28"/>
    <w:rsid w:val="00F71FC9"/>
    <w:rsid w:val="00F7234F"/>
    <w:rsid w:val="00F7287A"/>
    <w:rsid w:val="00F7317A"/>
    <w:rsid w:val="00F82454"/>
    <w:rsid w:val="00F829B0"/>
    <w:rsid w:val="00F927F4"/>
    <w:rsid w:val="00FA1671"/>
    <w:rsid w:val="00FA658C"/>
    <w:rsid w:val="00FB5FD0"/>
    <w:rsid w:val="00FB6735"/>
    <w:rsid w:val="00FC32CD"/>
    <w:rsid w:val="00FC3EB8"/>
    <w:rsid w:val="00FC79E6"/>
    <w:rsid w:val="00FD3B0F"/>
    <w:rsid w:val="00FE097F"/>
    <w:rsid w:val="00FE13CB"/>
    <w:rsid w:val="00FE65A5"/>
    <w:rsid w:val="00FF1BDD"/>
    <w:rsid w:val="00FF734F"/>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FAA5B"/>
  <w15:docId w15:val="{68BBE631-E312-4371-B45E-967152EA0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4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62947"/>
    <w:pPr>
      <w:spacing w:after="0" w:line="240" w:lineRule="auto"/>
    </w:pPr>
  </w:style>
  <w:style w:type="paragraph" w:styleId="FootnoteText">
    <w:name w:val="footnote text"/>
    <w:basedOn w:val="Normal"/>
    <w:link w:val="FootnoteTextChar"/>
    <w:uiPriority w:val="99"/>
    <w:semiHidden/>
    <w:unhideWhenUsed/>
    <w:rsid w:val="00DE2D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2DC0"/>
    <w:rPr>
      <w:sz w:val="20"/>
      <w:szCs w:val="20"/>
    </w:rPr>
  </w:style>
  <w:style w:type="character" w:styleId="FootnoteReference">
    <w:name w:val="footnote reference"/>
    <w:basedOn w:val="DefaultParagraphFont"/>
    <w:uiPriority w:val="99"/>
    <w:semiHidden/>
    <w:unhideWhenUsed/>
    <w:rsid w:val="00DE2DC0"/>
    <w:rPr>
      <w:vertAlign w:val="superscript"/>
    </w:rPr>
  </w:style>
  <w:style w:type="paragraph" w:styleId="Header">
    <w:name w:val="header"/>
    <w:basedOn w:val="Normal"/>
    <w:link w:val="HeaderChar"/>
    <w:uiPriority w:val="99"/>
    <w:unhideWhenUsed/>
    <w:rsid w:val="00E70F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0FC2"/>
  </w:style>
  <w:style w:type="paragraph" w:styleId="Footer">
    <w:name w:val="footer"/>
    <w:basedOn w:val="Normal"/>
    <w:link w:val="FooterChar"/>
    <w:uiPriority w:val="99"/>
    <w:unhideWhenUsed/>
    <w:rsid w:val="00E70F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0FC2"/>
  </w:style>
  <w:style w:type="paragraph" w:styleId="BalloonText">
    <w:name w:val="Balloon Text"/>
    <w:basedOn w:val="Normal"/>
    <w:link w:val="BalloonTextChar"/>
    <w:uiPriority w:val="99"/>
    <w:semiHidden/>
    <w:unhideWhenUsed/>
    <w:rsid w:val="00D61C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C4B"/>
    <w:rPr>
      <w:rFonts w:ascii="Segoe UI" w:hAnsi="Segoe UI" w:cs="Segoe UI"/>
      <w:sz w:val="18"/>
      <w:szCs w:val="18"/>
    </w:rPr>
  </w:style>
  <w:style w:type="table" w:styleId="TableGrid">
    <w:name w:val="Table Grid"/>
    <w:basedOn w:val="TableNormal"/>
    <w:uiPriority w:val="39"/>
    <w:rsid w:val="00C669B7"/>
    <w:pPr>
      <w:spacing w:after="0" w:line="240" w:lineRule="auto"/>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7ABB8-D94B-4629-AE88-38E3BC960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19</Pages>
  <Words>6442</Words>
  <Characters>36720</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Anna Game-Lopata</cp:lastModifiedBy>
  <cp:revision>3</cp:revision>
  <cp:lastPrinted>2024-10-25T07:42:00Z</cp:lastPrinted>
  <dcterms:created xsi:type="dcterms:W3CDTF">2024-11-18T00:47:00Z</dcterms:created>
  <dcterms:modified xsi:type="dcterms:W3CDTF">2024-11-20T04:28:00Z</dcterms:modified>
</cp:coreProperties>
</file>